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DE0DA6" w14:textId="77777777" w:rsidR="00205CD9" w:rsidRDefault="00200785">
      <w:pPr>
        <w:pStyle w:val="BodyText"/>
        <w:rPr>
          <w:rFonts w:ascii="Times New Roman"/>
        </w:rPr>
      </w:pPr>
      <w:r>
        <w:pict w14:anchorId="43DE0EFC">
          <v:group id="_x0000_s1045" style="position:absolute;margin-left:-.5pt;margin-top:35.8pt;width:595.6pt;height:567.95pt;z-index:-15952896;mso-position-horizontal-relative:page;mso-position-vertical-relative:page" coordorigin="-10,716" coordsize="11912,11359">
            <v:shape id="_x0000_s1052"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left:5242;top:5292;width:6660;height:6280">
              <v:imagedata r:id="rId8" o:title=""/>
            </v:shape>
            <v:shape id="_x0000_s1050" style="position:absolute;left:1204;top:11026;width:3651;height:396" coordorigin="1204,11026" coordsize="3651,396" path="m4855,11026r-3402,l1204,11422r3401,l4855,11026xe" fillcolor="#004674" stroked="f">
              <v:path arrowok="t"/>
            </v:shape>
            <v:shape id="_x0000_s1049"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1048" style="position:absolute;left:2109;top:1661;width:587;height:1546" coordorigin="2109,1661" coordsize="587,1546" path="m2696,1661r-587,945l2109,3207r587,-945l2696,1661xe" fillcolor="#6c6d70" stroked="f">
              <v:path arrowok="t"/>
            </v:shape>
            <v:shape id="_x0000_s1047" style="position:absolute;left:2720;top:716;width:587;height:1246" coordorigin="2720,716" coordsize="587,1246" path="m2720,716r,601l3120,1962r187,-301l2720,716xe" fillcolor="#8dc53e" stroked="f">
              <v:path arrowok="t"/>
            </v:shape>
            <v:shape id="_x0000_s1046" style="position:absolute;left:2720;top:1661;width:587;height:1546" coordorigin="2720,1661" coordsize="587,1546" path="m3307,1661r-587,945l2720,3207r587,-945l3307,1661xe" fillcolor="#6c6d70" stroked="f">
              <v:path arrowok="t"/>
            </v:shape>
            <w10:wrap anchorx="page" anchory="page"/>
          </v:group>
        </w:pict>
      </w:r>
    </w:p>
    <w:p w14:paraId="43DE0DA7" w14:textId="77777777" w:rsidR="00205CD9" w:rsidRDefault="00205CD9">
      <w:pPr>
        <w:pStyle w:val="BodyText"/>
        <w:rPr>
          <w:rFonts w:ascii="Times New Roman"/>
        </w:rPr>
      </w:pPr>
    </w:p>
    <w:p w14:paraId="43DE0DA8" w14:textId="77777777" w:rsidR="00205CD9" w:rsidRDefault="00205CD9">
      <w:pPr>
        <w:pStyle w:val="BodyText"/>
        <w:rPr>
          <w:rFonts w:ascii="Times New Roman"/>
        </w:rPr>
      </w:pPr>
    </w:p>
    <w:p w14:paraId="43DE0DA9" w14:textId="77777777" w:rsidR="00205CD9" w:rsidRDefault="00205CD9">
      <w:pPr>
        <w:pStyle w:val="BodyText"/>
        <w:rPr>
          <w:rFonts w:ascii="Times New Roman"/>
        </w:rPr>
      </w:pPr>
    </w:p>
    <w:p w14:paraId="43DE0DAA" w14:textId="77777777" w:rsidR="00205CD9" w:rsidRDefault="00205CD9">
      <w:pPr>
        <w:pStyle w:val="BodyText"/>
        <w:rPr>
          <w:rFonts w:ascii="Times New Roman"/>
        </w:rPr>
      </w:pPr>
    </w:p>
    <w:p w14:paraId="43DE0DAB" w14:textId="77777777" w:rsidR="00205CD9" w:rsidRDefault="00205CD9">
      <w:pPr>
        <w:pStyle w:val="BodyText"/>
        <w:rPr>
          <w:rFonts w:ascii="Times New Roman"/>
        </w:rPr>
      </w:pPr>
    </w:p>
    <w:p w14:paraId="43DE0DAC" w14:textId="77777777" w:rsidR="00205CD9" w:rsidRDefault="00205CD9">
      <w:pPr>
        <w:pStyle w:val="BodyText"/>
        <w:rPr>
          <w:rFonts w:ascii="Times New Roman"/>
        </w:rPr>
      </w:pPr>
    </w:p>
    <w:p w14:paraId="43DE0DAD" w14:textId="77777777" w:rsidR="00205CD9" w:rsidRDefault="00205CD9">
      <w:pPr>
        <w:pStyle w:val="BodyText"/>
        <w:rPr>
          <w:rFonts w:ascii="Times New Roman"/>
        </w:rPr>
      </w:pPr>
    </w:p>
    <w:p w14:paraId="43DE0DAE" w14:textId="77777777" w:rsidR="00205CD9" w:rsidRDefault="00205CD9">
      <w:pPr>
        <w:pStyle w:val="BodyText"/>
        <w:rPr>
          <w:rFonts w:ascii="Times New Roman"/>
        </w:rPr>
      </w:pPr>
    </w:p>
    <w:p w14:paraId="43DE0DAF" w14:textId="77777777" w:rsidR="00205CD9" w:rsidRDefault="00205CD9">
      <w:pPr>
        <w:pStyle w:val="BodyText"/>
        <w:rPr>
          <w:rFonts w:ascii="Times New Roman"/>
        </w:rPr>
      </w:pPr>
    </w:p>
    <w:p w14:paraId="43DE0DB0" w14:textId="77777777" w:rsidR="00205CD9" w:rsidRDefault="00205CD9">
      <w:pPr>
        <w:pStyle w:val="BodyText"/>
        <w:rPr>
          <w:rFonts w:ascii="Times New Roman"/>
        </w:rPr>
      </w:pPr>
    </w:p>
    <w:p w14:paraId="43DE0DB1" w14:textId="1456F93B" w:rsidR="00205CD9" w:rsidRDefault="00735DDA" w:rsidP="00770741">
      <w:pPr>
        <w:tabs>
          <w:tab w:val="left" w:pos="6750"/>
          <w:tab w:val="left" w:pos="6840"/>
        </w:tabs>
        <w:spacing w:before="222" w:line="264" w:lineRule="auto"/>
        <w:ind w:left="720" w:right="2350" w:hanging="1440"/>
        <w:rPr>
          <w:sz w:val="40"/>
        </w:rPr>
      </w:pPr>
      <w:r>
        <w:rPr>
          <w:color w:val="57585B"/>
          <w:sz w:val="40"/>
        </w:rPr>
        <w:t xml:space="preserve">Препоръка на Съвета относно използване на икономически инструменти за </w:t>
      </w:r>
      <w:r w:rsidR="00770741">
        <w:rPr>
          <w:color w:val="57585B"/>
          <w:sz w:val="40"/>
          <w:lang w:val="en-US"/>
        </w:rPr>
        <w:t xml:space="preserve">   </w:t>
      </w:r>
      <w:r>
        <w:rPr>
          <w:color w:val="57585B"/>
          <w:sz w:val="40"/>
        </w:rPr>
        <w:t>насърчаване на опазването</w:t>
      </w:r>
    </w:p>
    <w:p w14:paraId="43DE0DB2" w14:textId="77777777" w:rsidR="00205CD9" w:rsidRDefault="00735DDA" w:rsidP="00770741">
      <w:pPr>
        <w:spacing w:before="1"/>
        <w:ind w:left="720"/>
        <w:rPr>
          <w:sz w:val="40"/>
        </w:rPr>
      </w:pPr>
      <w:r>
        <w:rPr>
          <w:color w:val="57585B"/>
          <w:sz w:val="40"/>
        </w:rPr>
        <w:t>и устойчивото използване на</w:t>
      </w:r>
    </w:p>
    <w:p w14:paraId="43DE0DB3" w14:textId="77777777" w:rsidR="00205CD9" w:rsidRDefault="00735DDA" w:rsidP="00770741">
      <w:pPr>
        <w:spacing w:before="49"/>
        <w:ind w:left="3240" w:hanging="2430"/>
        <w:rPr>
          <w:sz w:val="40"/>
        </w:rPr>
      </w:pPr>
      <w:r>
        <w:rPr>
          <w:color w:val="57585B"/>
          <w:sz w:val="40"/>
        </w:rPr>
        <w:t>биологичното разнообразие</w:t>
      </w:r>
    </w:p>
    <w:p w14:paraId="43DE0DB4" w14:textId="77777777" w:rsidR="00205CD9" w:rsidRDefault="00205CD9">
      <w:pPr>
        <w:pStyle w:val="BodyText"/>
      </w:pPr>
    </w:p>
    <w:p w14:paraId="43DE0DB5" w14:textId="77777777" w:rsidR="00205CD9" w:rsidRDefault="00205CD9">
      <w:pPr>
        <w:pStyle w:val="BodyText"/>
      </w:pPr>
    </w:p>
    <w:p w14:paraId="43DE0DB6" w14:textId="77777777" w:rsidR="00205CD9" w:rsidRDefault="00205CD9">
      <w:pPr>
        <w:pStyle w:val="BodyText"/>
      </w:pPr>
    </w:p>
    <w:p w14:paraId="43DE0DB7" w14:textId="77777777" w:rsidR="00205CD9" w:rsidRDefault="00205CD9">
      <w:pPr>
        <w:pStyle w:val="BodyText"/>
      </w:pPr>
    </w:p>
    <w:p w14:paraId="43DE0DB8" w14:textId="77777777" w:rsidR="00205CD9" w:rsidRDefault="00205CD9">
      <w:pPr>
        <w:pStyle w:val="BodyText"/>
      </w:pPr>
    </w:p>
    <w:p w14:paraId="43DE0DB9" w14:textId="77777777" w:rsidR="00205CD9" w:rsidRDefault="00205CD9">
      <w:pPr>
        <w:pStyle w:val="BodyText"/>
      </w:pPr>
    </w:p>
    <w:p w14:paraId="43DE0DBA" w14:textId="77777777" w:rsidR="00205CD9" w:rsidRDefault="00205CD9">
      <w:pPr>
        <w:pStyle w:val="BodyText"/>
      </w:pPr>
    </w:p>
    <w:p w14:paraId="43DE0DBB" w14:textId="77777777" w:rsidR="00205CD9" w:rsidRDefault="00205CD9">
      <w:pPr>
        <w:pStyle w:val="BodyText"/>
      </w:pPr>
    </w:p>
    <w:p w14:paraId="43DE0DBC" w14:textId="77777777" w:rsidR="00205CD9" w:rsidRDefault="00205CD9">
      <w:pPr>
        <w:pStyle w:val="BodyText"/>
      </w:pPr>
    </w:p>
    <w:p w14:paraId="43DE0DBD" w14:textId="77777777" w:rsidR="00205CD9" w:rsidRDefault="00205CD9">
      <w:pPr>
        <w:pStyle w:val="BodyText"/>
      </w:pPr>
    </w:p>
    <w:p w14:paraId="43DE0DBE" w14:textId="77777777" w:rsidR="00205CD9" w:rsidRDefault="00205CD9">
      <w:pPr>
        <w:pStyle w:val="BodyText"/>
      </w:pPr>
    </w:p>
    <w:p w14:paraId="43DE0DBF" w14:textId="77777777" w:rsidR="00205CD9" w:rsidRDefault="00205CD9">
      <w:pPr>
        <w:pStyle w:val="BodyText"/>
      </w:pPr>
    </w:p>
    <w:p w14:paraId="43DE0DC0" w14:textId="77777777" w:rsidR="00205CD9" w:rsidRDefault="00205CD9">
      <w:pPr>
        <w:pStyle w:val="BodyText"/>
      </w:pPr>
    </w:p>
    <w:p w14:paraId="43DE0DC1" w14:textId="77777777" w:rsidR="00205CD9" w:rsidRDefault="00205CD9">
      <w:pPr>
        <w:pStyle w:val="BodyText"/>
      </w:pPr>
    </w:p>
    <w:p w14:paraId="43DE0DC2" w14:textId="77777777" w:rsidR="00205CD9" w:rsidRDefault="00205CD9">
      <w:pPr>
        <w:pStyle w:val="BodyText"/>
      </w:pPr>
    </w:p>
    <w:p w14:paraId="43DE0DC3" w14:textId="77777777" w:rsidR="00205CD9" w:rsidRDefault="00205CD9">
      <w:pPr>
        <w:pStyle w:val="BodyText"/>
      </w:pPr>
    </w:p>
    <w:p w14:paraId="43DE0DC4" w14:textId="77777777" w:rsidR="00205CD9" w:rsidRDefault="00205CD9">
      <w:pPr>
        <w:pStyle w:val="BodyText"/>
      </w:pPr>
    </w:p>
    <w:p w14:paraId="43DE0DC5" w14:textId="77777777" w:rsidR="00205CD9" w:rsidRDefault="00205CD9">
      <w:pPr>
        <w:pStyle w:val="BodyText"/>
      </w:pPr>
    </w:p>
    <w:p w14:paraId="43DE0DC6" w14:textId="77777777" w:rsidR="00205CD9" w:rsidRDefault="00205CD9">
      <w:pPr>
        <w:pStyle w:val="BodyText"/>
      </w:pPr>
    </w:p>
    <w:p w14:paraId="43DE0DC7" w14:textId="77777777" w:rsidR="00205CD9" w:rsidRDefault="00205CD9">
      <w:pPr>
        <w:pStyle w:val="BodyText"/>
      </w:pPr>
    </w:p>
    <w:p w14:paraId="43DE0DC8" w14:textId="77777777" w:rsidR="00205CD9" w:rsidRDefault="00205CD9">
      <w:pPr>
        <w:pStyle w:val="BodyText"/>
      </w:pPr>
    </w:p>
    <w:p w14:paraId="43DE0DC9" w14:textId="77777777" w:rsidR="00205CD9" w:rsidRDefault="00205CD9">
      <w:pPr>
        <w:pStyle w:val="BodyText"/>
      </w:pPr>
    </w:p>
    <w:p w14:paraId="43DE0DCA" w14:textId="77777777" w:rsidR="00205CD9" w:rsidRDefault="00205CD9">
      <w:pPr>
        <w:pStyle w:val="BodyText"/>
      </w:pPr>
    </w:p>
    <w:p w14:paraId="43DE0DCB" w14:textId="77777777" w:rsidR="00205CD9" w:rsidRDefault="00735DDA" w:rsidP="00770741">
      <w:pPr>
        <w:spacing w:before="273" w:line="204" w:lineRule="auto"/>
        <w:ind w:left="811" w:right="7088" w:hanging="126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43DE0DCC" w14:textId="77777777" w:rsidR="00205CD9" w:rsidRDefault="00205CD9">
      <w:pPr>
        <w:pStyle w:val="BodyText"/>
        <w:rPr>
          <w:rFonts w:ascii="Arial Black"/>
        </w:rPr>
      </w:pPr>
    </w:p>
    <w:p w14:paraId="43DE0DCD" w14:textId="77777777" w:rsidR="00205CD9" w:rsidRDefault="00205CD9">
      <w:pPr>
        <w:pStyle w:val="BodyText"/>
        <w:rPr>
          <w:rFonts w:ascii="Arial Black"/>
        </w:rPr>
      </w:pPr>
    </w:p>
    <w:p w14:paraId="43DE0DCE" w14:textId="77777777" w:rsidR="00205CD9" w:rsidRDefault="00205CD9">
      <w:pPr>
        <w:pStyle w:val="BodyText"/>
        <w:rPr>
          <w:rFonts w:ascii="Arial Black"/>
        </w:rPr>
      </w:pPr>
    </w:p>
    <w:p w14:paraId="43DE0DCF" w14:textId="77777777" w:rsidR="00205CD9" w:rsidRDefault="00205CD9">
      <w:pPr>
        <w:pStyle w:val="BodyText"/>
        <w:rPr>
          <w:rFonts w:ascii="Arial Black"/>
        </w:rPr>
      </w:pPr>
    </w:p>
    <w:p w14:paraId="43DE0DD0" w14:textId="77777777" w:rsidR="00205CD9" w:rsidRDefault="00205CD9">
      <w:pPr>
        <w:pStyle w:val="BodyText"/>
        <w:rPr>
          <w:rFonts w:ascii="Arial Black"/>
        </w:rPr>
      </w:pPr>
    </w:p>
    <w:p w14:paraId="43DE0DD1" w14:textId="77777777" w:rsidR="00205CD9" w:rsidRDefault="00205CD9">
      <w:pPr>
        <w:pStyle w:val="BodyText"/>
        <w:rPr>
          <w:rFonts w:ascii="Arial Black"/>
        </w:rPr>
      </w:pPr>
    </w:p>
    <w:p w14:paraId="43DE0DD2" w14:textId="77777777" w:rsidR="00205CD9" w:rsidRDefault="00205CD9">
      <w:pPr>
        <w:pStyle w:val="BodyText"/>
        <w:rPr>
          <w:rFonts w:ascii="Arial Black"/>
        </w:rPr>
      </w:pPr>
    </w:p>
    <w:p w14:paraId="43DE0DD3" w14:textId="77777777" w:rsidR="00205CD9" w:rsidRDefault="00205CD9">
      <w:pPr>
        <w:pStyle w:val="BodyText"/>
        <w:rPr>
          <w:rFonts w:ascii="Arial Black"/>
        </w:rPr>
      </w:pPr>
    </w:p>
    <w:p w14:paraId="43DE0DD4" w14:textId="77777777" w:rsidR="00205CD9" w:rsidRDefault="00205CD9">
      <w:pPr>
        <w:pStyle w:val="BodyText"/>
        <w:rPr>
          <w:rFonts w:ascii="Arial Black"/>
        </w:rPr>
      </w:pPr>
    </w:p>
    <w:p w14:paraId="43DE0DD5" w14:textId="77777777" w:rsidR="00205CD9" w:rsidRDefault="00205CD9">
      <w:pPr>
        <w:pStyle w:val="BodyText"/>
        <w:rPr>
          <w:rFonts w:ascii="Arial Black"/>
        </w:rPr>
      </w:pPr>
    </w:p>
    <w:p w14:paraId="43DE0DD6" w14:textId="77777777" w:rsidR="00205CD9" w:rsidRDefault="00735DDA">
      <w:pPr>
        <w:pStyle w:val="BodyText"/>
        <w:spacing w:before="6"/>
        <w:rPr>
          <w:rFonts w:ascii="Arial Black"/>
          <w:sz w:val="19"/>
        </w:rPr>
      </w:pPr>
      <w:r>
        <w:rPr>
          <w:noProof/>
        </w:rPr>
        <w:drawing>
          <wp:anchor distT="0" distB="0" distL="0" distR="0" simplePos="0" relativeHeight="251659264" behindDoc="0" locked="0" layoutInCell="1" allowOverlap="1" wp14:anchorId="43DE0EFD" wp14:editId="43DE0EFE">
            <wp:simplePos x="0" y="0"/>
            <wp:positionH relativeFrom="page">
              <wp:posOffset>5058409</wp:posOffset>
            </wp:positionH>
            <wp:positionV relativeFrom="paragraph">
              <wp:posOffset>199053</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9" cstate="print"/>
                    <a:stretch>
                      <a:fillRect/>
                    </a:stretch>
                  </pic:blipFill>
                  <pic:spPr>
                    <a:xfrm>
                      <a:off x="0" y="0"/>
                      <a:ext cx="2165036" cy="666750"/>
                    </a:xfrm>
                    <a:prstGeom prst="rect">
                      <a:avLst/>
                    </a:prstGeom>
                  </pic:spPr>
                </pic:pic>
              </a:graphicData>
            </a:graphic>
          </wp:anchor>
        </w:drawing>
      </w:r>
    </w:p>
    <w:p w14:paraId="43DE0DD7" w14:textId="77777777" w:rsidR="00205CD9" w:rsidRDefault="00205CD9">
      <w:pPr>
        <w:rPr>
          <w:rFonts w:ascii="Arial Black"/>
          <w:sz w:val="19"/>
        </w:rPr>
        <w:sectPr w:rsidR="00205CD9">
          <w:type w:val="continuous"/>
          <w:pgSz w:w="11920" w:h="16850"/>
          <w:pgMar w:top="720" w:right="420" w:bottom="280" w:left="1680" w:header="720" w:footer="720" w:gutter="0"/>
          <w:cols w:space="720"/>
        </w:sectPr>
      </w:pPr>
    </w:p>
    <w:p w14:paraId="43DE0DD8" w14:textId="77777777" w:rsidR="00205CD9" w:rsidRDefault="00205CD9">
      <w:pPr>
        <w:pStyle w:val="BodyText"/>
        <w:rPr>
          <w:rFonts w:ascii="Arial Black"/>
        </w:rPr>
      </w:pPr>
    </w:p>
    <w:p w14:paraId="43DE0DD9" w14:textId="77777777" w:rsidR="00205CD9" w:rsidRDefault="00205CD9">
      <w:pPr>
        <w:pStyle w:val="BodyText"/>
        <w:rPr>
          <w:rFonts w:ascii="Arial Black"/>
        </w:rPr>
      </w:pPr>
    </w:p>
    <w:p w14:paraId="43DE0DDA" w14:textId="77777777" w:rsidR="00205CD9" w:rsidRDefault="00205CD9">
      <w:pPr>
        <w:pStyle w:val="BodyText"/>
        <w:rPr>
          <w:rFonts w:ascii="Arial Black"/>
        </w:rPr>
      </w:pPr>
    </w:p>
    <w:p w14:paraId="43DE0DDB" w14:textId="77777777" w:rsidR="00205CD9" w:rsidRDefault="00205CD9">
      <w:pPr>
        <w:pStyle w:val="BodyText"/>
        <w:rPr>
          <w:rFonts w:ascii="Arial Black"/>
        </w:rPr>
      </w:pPr>
    </w:p>
    <w:p w14:paraId="43DE0DDC" w14:textId="77777777" w:rsidR="00205CD9" w:rsidRDefault="00205CD9">
      <w:pPr>
        <w:pStyle w:val="BodyText"/>
        <w:rPr>
          <w:rFonts w:ascii="Arial Black"/>
        </w:rPr>
      </w:pPr>
    </w:p>
    <w:p w14:paraId="43DE0DDD" w14:textId="77777777" w:rsidR="00205CD9" w:rsidRDefault="00205CD9">
      <w:pPr>
        <w:pStyle w:val="BodyText"/>
        <w:spacing w:before="1"/>
        <w:rPr>
          <w:rFonts w:ascii="Arial Black"/>
          <w:sz w:val="22"/>
        </w:rPr>
      </w:pPr>
    </w:p>
    <w:p w14:paraId="43DE0DDE" w14:textId="77777777" w:rsidR="00205CD9" w:rsidRDefault="00735DDA">
      <w:pPr>
        <w:spacing w:before="94" w:line="242" w:lineRule="auto"/>
        <w:ind w:left="117" w:right="816"/>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43DE0DDF" w14:textId="77777777" w:rsidR="00205CD9" w:rsidRDefault="00205CD9">
      <w:pPr>
        <w:pStyle w:val="BodyText"/>
        <w:spacing w:before="10"/>
        <w:rPr>
          <w:sz w:val="15"/>
        </w:rPr>
      </w:pPr>
    </w:p>
    <w:p w14:paraId="43DE0DE0" w14:textId="77777777" w:rsidR="00205CD9" w:rsidRDefault="00735DDA">
      <w:pPr>
        <w:spacing w:line="242" w:lineRule="auto"/>
        <w:ind w:left="117" w:right="814"/>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43DE0DE1" w14:textId="77777777" w:rsidR="00205CD9" w:rsidRDefault="00205CD9">
      <w:pPr>
        <w:pStyle w:val="BodyText"/>
      </w:pPr>
    </w:p>
    <w:p w14:paraId="43DE0DE2" w14:textId="77777777" w:rsidR="00205CD9" w:rsidRDefault="00205CD9">
      <w:pPr>
        <w:pStyle w:val="BodyText"/>
      </w:pPr>
    </w:p>
    <w:p w14:paraId="43DE0DE3" w14:textId="77777777" w:rsidR="00205CD9" w:rsidRDefault="00205CD9">
      <w:pPr>
        <w:pStyle w:val="BodyText"/>
      </w:pPr>
    </w:p>
    <w:p w14:paraId="43DE0DE4" w14:textId="77777777" w:rsidR="00205CD9" w:rsidRDefault="00205CD9">
      <w:pPr>
        <w:pStyle w:val="BodyText"/>
      </w:pPr>
    </w:p>
    <w:p w14:paraId="43DE0DE5" w14:textId="77777777" w:rsidR="00205CD9" w:rsidRDefault="00205CD9">
      <w:pPr>
        <w:pStyle w:val="BodyText"/>
      </w:pPr>
    </w:p>
    <w:p w14:paraId="43DE0DE6" w14:textId="77777777" w:rsidR="00205CD9" w:rsidRDefault="00205CD9">
      <w:pPr>
        <w:pStyle w:val="BodyText"/>
      </w:pPr>
    </w:p>
    <w:p w14:paraId="43DE0DE7" w14:textId="77777777" w:rsidR="00205CD9" w:rsidRDefault="00205CD9">
      <w:pPr>
        <w:pStyle w:val="BodyText"/>
      </w:pPr>
    </w:p>
    <w:p w14:paraId="43DE0DE8" w14:textId="77777777" w:rsidR="00205CD9" w:rsidRDefault="00205CD9">
      <w:pPr>
        <w:pStyle w:val="BodyText"/>
      </w:pPr>
    </w:p>
    <w:p w14:paraId="43DE0DE9" w14:textId="77777777" w:rsidR="00205CD9" w:rsidRDefault="00205CD9">
      <w:pPr>
        <w:pStyle w:val="BodyText"/>
      </w:pPr>
    </w:p>
    <w:p w14:paraId="43DE0DEA" w14:textId="77777777" w:rsidR="00205CD9" w:rsidRDefault="00205CD9">
      <w:pPr>
        <w:pStyle w:val="BodyText"/>
      </w:pPr>
    </w:p>
    <w:p w14:paraId="43DE0DEB" w14:textId="77777777" w:rsidR="00205CD9" w:rsidRDefault="00205CD9">
      <w:pPr>
        <w:pStyle w:val="BodyText"/>
      </w:pPr>
    </w:p>
    <w:p w14:paraId="43DE0DEC" w14:textId="77777777" w:rsidR="00205CD9" w:rsidRDefault="00205CD9">
      <w:pPr>
        <w:pStyle w:val="BodyText"/>
      </w:pPr>
    </w:p>
    <w:p w14:paraId="43DE0DED" w14:textId="77777777" w:rsidR="00205CD9" w:rsidRDefault="00205CD9">
      <w:pPr>
        <w:pStyle w:val="BodyText"/>
      </w:pPr>
    </w:p>
    <w:p w14:paraId="43DE0DEE" w14:textId="77777777" w:rsidR="00205CD9" w:rsidRDefault="00205CD9">
      <w:pPr>
        <w:pStyle w:val="BodyText"/>
      </w:pPr>
    </w:p>
    <w:p w14:paraId="43DE0DEF" w14:textId="77777777" w:rsidR="00205CD9" w:rsidRDefault="00205CD9">
      <w:pPr>
        <w:pStyle w:val="BodyText"/>
      </w:pPr>
    </w:p>
    <w:p w14:paraId="43DE0DF0" w14:textId="77777777" w:rsidR="00205CD9" w:rsidRDefault="00205CD9">
      <w:pPr>
        <w:pStyle w:val="BodyText"/>
      </w:pPr>
    </w:p>
    <w:p w14:paraId="43DE0DF1" w14:textId="77777777" w:rsidR="00205CD9" w:rsidRDefault="00205CD9">
      <w:pPr>
        <w:pStyle w:val="BodyText"/>
      </w:pPr>
    </w:p>
    <w:p w14:paraId="43DE0DF2" w14:textId="77777777" w:rsidR="00205CD9" w:rsidRDefault="00205CD9">
      <w:pPr>
        <w:pStyle w:val="BodyText"/>
      </w:pPr>
    </w:p>
    <w:p w14:paraId="43DE0DF3" w14:textId="77777777" w:rsidR="00205CD9" w:rsidRDefault="00205CD9">
      <w:pPr>
        <w:pStyle w:val="BodyText"/>
      </w:pPr>
    </w:p>
    <w:p w14:paraId="43DE0DF4" w14:textId="77777777" w:rsidR="00205CD9" w:rsidRDefault="00205CD9">
      <w:pPr>
        <w:pStyle w:val="BodyText"/>
      </w:pPr>
    </w:p>
    <w:p w14:paraId="43DE0DF5" w14:textId="77777777" w:rsidR="00205CD9" w:rsidRDefault="00205CD9">
      <w:pPr>
        <w:pStyle w:val="BodyText"/>
      </w:pPr>
    </w:p>
    <w:p w14:paraId="43DE0DF6" w14:textId="77777777" w:rsidR="00205CD9" w:rsidRDefault="00205CD9">
      <w:pPr>
        <w:pStyle w:val="BodyText"/>
      </w:pPr>
    </w:p>
    <w:p w14:paraId="43DE0DF7" w14:textId="77777777" w:rsidR="00205CD9" w:rsidRDefault="00205CD9">
      <w:pPr>
        <w:pStyle w:val="BodyText"/>
      </w:pPr>
    </w:p>
    <w:p w14:paraId="43DE0DF8" w14:textId="77777777" w:rsidR="00205CD9" w:rsidRDefault="00205CD9">
      <w:pPr>
        <w:pStyle w:val="BodyText"/>
      </w:pPr>
    </w:p>
    <w:p w14:paraId="43DE0DF9" w14:textId="77777777" w:rsidR="00205CD9" w:rsidRDefault="00205CD9">
      <w:pPr>
        <w:pStyle w:val="BodyText"/>
      </w:pPr>
    </w:p>
    <w:p w14:paraId="43DE0DFA" w14:textId="77777777" w:rsidR="00205CD9" w:rsidRDefault="00205CD9">
      <w:pPr>
        <w:pStyle w:val="BodyText"/>
      </w:pPr>
    </w:p>
    <w:p w14:paraId="43DE0DFB" w14:textId="77777777" w:rsidR="00205CD9" w:rsidRDefault="00205CD9">
      <w:pPr>
        <w:pStyle w:val="BodyText"/>
      </w:pPr>
    </w:p>
    <w:p w14:paraId="43DE0DFC" w14:textId="77777777" w:rsidR="00205CD9" w:rsidRDefault="00205CD9">
      <w:pPr>
        <w:pStyle w:val="BodyText"/>
        <w:spacing w:before="1"/>
        <w:rPr>
          <w:sz w:val="22"/>
        </w:rPr>
      </w:pPr>
    </w:p>
    <w:p w14:paraId="43DE0DFD" w14:textId="77777777" w:rsidR="00205CD9" w:rsidRDefault="00735DDA">
      <w:pPr>
        <w:spacing w:line="242" w:lineRule="auto"/>
        <w:ind w:left="117" w:right="358"/>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0">
        <w:r>
          <w:rPr>
            <w:color w:val="0000ED"/>
            <w:sz w:val="18"/>
            <w:u w:val="single" w:color="0000ED"/>
          </w:rPr>
          <w:t>http://legalinstruments.oecd.org</w:t>
        </w:r>
      </w:hyperlink>
      <w:r>
        <w:t xml:space="preserve"> </w:t>
      </w:r>
      <w:r>
        <w:rPr>
          <w:sz w:val="18"/>
        </w:rPr>
        <w:t>.</w:t>
      </w:r>
    </w:p>
    <w:p w14:paraId="43DE0DFE" w14:textId="77777777" w:rsidR="00205CD9" w:rsidRDefault="00200785">
      <w:pPr>
        <w:pStyle w:val="BodyText"/>
        <w:rPr>
          <w:sz w:val="14"/>
        </w:rPr>
      </w:pPr>
      <w:r>
        <w:pict w14:anchorId="43DE0F00">
          <v:shapetype id="_x0000_t202" coordsize="21600,21600" o:spt="202" path="m,l,21600r21600,l21600,xe">
            <v:stroke joinstyle="miter"/>
            <v:path gradientshapeok="t" o:connecttype="rect"/>
          </v:shapetype>
          <v:shape id="_x0000_s1044" type="#_x0000_t202" style="position:absolute;margin-left:76.85pt;margin-top:9.3pt;width:441.5pt;height:32pt;z-index:-15727616;mso-wrap-distance-left:0;mso-wrap-distance-right:0;mso-position-horizontal-relative:page" fillcolor="#dcd8c2" stroked="f">
            <v:textbox inset="0,0,0,0">
              <w:txbxContent>
                <w:p w14:paraId="43DE0F13" w14:textId="77777777" w:rsidR="00205CD9" w:rsidRDefault="00735DDA">
                  <w:pPr>
                    <w:spacing w:before="1"/>
                    <w:rPr>
                      <w:b/>
                      <w:sz w:val="18"/>
                    </w:rPr>
                  </w:pPr>
                  <w:r>
                    <w:rPr>
                      <w:b/>
                      <w:sz w:val="18"/>
                    </w:rPr>
                    <w:t>Моля, цитирайте този документ като:</w:t>
                  </w:r>
                </w:p>
                <w:p w14:paraId="43DE0F14" w14:textId="77777777" w:rsidR="00205CD9" w:rsidRDefault="00735DDA">
                  <w:pPr>
                    <w:spacing w:before="8" w:line="242" w:lineRule="auto"/>
                    <w:rPr>
                      <w:sz w:val="18"/>
                    </w:rPr>
                  </w:pPr>
                  <w:r>
                    <w:rPr>
                      <w:sz w:val="18"/>
                    </w:rPr>
                    <w:t xml:space="preserve">ОИСР, </w:t>
                  </w:r>
                  <w:r>
                    <w:rPr>
                      <w:i/>
                      <w:sz w:val="18"/>
                    </w:rPr>
                    <w:t xml:space="preserve">Препоръка на Съвета относно използването на икономически инструменти за насърчаване на опазването и устойчивото използване на биологичното разнообразие </w:t>
                  </w:r>
                  <w:r>
                    <w:rPr>
                      <w:sz w:val="18"/>
                    </w:rPr>
                    <w:t>, OECD/LEGAL/0326</w:t>
                  </w:r>
                </w:p>
              </w:txbxContent>
            </v:textbox>
            <w10:wrap type="topAndBottom" anchorx="page"/>
          </v:shape>
        </w:pict>
      </w:r>
    </w:p>
    <w:p w14:paraId="43DE0DFF" w14:textId="77777777" w:rsidR="00205CD9" w:rsidRDefault="00205CD9">
      <w:pPr>
        <w:pStyle w:val="BodyText"/>
        <w:rPr>
          <w:sz w:val="15"/>
        </w:rPr>
      </w:pPr>
    </w:p>
    <w:p w14:paraId="43DE0E00" w14:textId="77777777" w:rsidR="00205CD9" w:rsidRDefault="00735DDA">
      <w:pPr>
        <w:spacing w:before="96"/>
        <w:ind w:left="117"/>
        <w:jc w:val="both"/>
        <w:rPr>
          <w:sz w:val="14"/>
        </w:rPr>
      </w:pPr>
      <w:r>
        <w:rPr>
          <w:sz w:val="14"/>
        </w:rPr>
        <w:t>Серия: Правни инструменти на ОИСР</w:t>
      </w:r>
    </w:p>
    <w:p w14:paraId="43DE0E01" w14:textId="77777777" w:rsidR="00205CD9" w:rsidRDefault="00205CD9">
      <w:pPr>
        <w:pStyle w:val="BodyText"/>
        <w:rPr>
          <w:sz w:val="16"/>
        </w:rPr>
      </w:pPr>
    </w:p>
    <w:p w14:paraId="43DE0E02" w14:textId="77777777" w:rsidR="00205CD9" w:rsidRDefault="00205CD9">
      <w:pPr>
        <w:pStyle w:val="BodyText"/>
        <w:rPr>
          <w:sz w:val="16"/>
        </w:rPr>
      </w:pPr>
    </w:p>
    <w:p w14:paraId="43DE0E03" w14:textId="77777777" w:rsidR="00205CD9" w:rsidRDefault="00205CD9">
      <w:pPr>
        <w:pStyle w:val="BodyText"/>
        <w:spacing w:before="3"/>
        <w:rPr>
          <w:sz w:val="17"/>
        </w:rPr>
      </w:pPr>
    </w:p>
    <w:p w14:paraId="43DE0E04" w14:textId="77777777" w:rsidR="00205CD9" w:rsidRDefault="00735DDA">
      <w:pPr>
        <w:ind w:left="117"/>
        <w:jc w:val="both"/>
        <w:rPr>
          <w:sz w:val="18"/>
        </w:rPr>
      </w:pPr>
      <w:r>
        <w:rPr>
          <w:sz w:val="18"/>
        </w:rPr>
        <w:t>© ОИСР 2021</w:t>
      </w:r>
    </w:p>
    <w:p w14:paraId="43DE0E05" w14:textId="77777777" w:rsidR="00205CD9" w:rsidRDefault="00200785">
      <w:pPr>
        <w:pStyle w:val="BodyText"/>
        <w:rPr>
          <w:sz w:val="22"/>
        </w:rPr>
      </w:pPr>
      <w:r>
        <w:pict w14:anchorId="43DE0F01">
          <v:rect id="_x0000_s1043" style="position:absolute;margin-left:76.85pt;margin-top:14.6pt;width:441.5pt;height:.5pt;z-index:-15727104;mso-wrap-distance-left:0;mso-wrap-distance-right:0;mso-position-horizontal-relative:page" fillcolor="black" stroked="f">
            <w10:wrap type="topAndBottom" anchorx="page"/>
          </v:rect>
        </w:pict>
      </w:r>
    </w:p>
    <w:p w14:paraId="43DE0E06" w14:textId="77777777" w:rsidR="00205CD9" w:rsidRDefault="00735DDA">
      <w:pPr>
        <w:spacing w:before="83" w:line="242" w:lineRule="auto"/>
        <w:ind w:left="117" w:right="820"/>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43DE0E07" w14:textId="77777777" w:rsidR="00205CD9" w:rsidRDefault="00205CD9">
      <w:pPr>
        <w:pStyle w:val="BodyText"/>
        <w:spacing w:before="6"/>
        <w:rPr>
          <w:sz w:val="10"/>
        </w:rPr>
      </w:pPr>
    </w:p>
    <w:p w14:paraId="43DE0E08" w14:textId="77777777" w:rsidR="00205CD9" w:rsidRDefault="00200785">
      <w:pPr>
        <w:spacing w:line="252" w:lineRule="auto"/>
        <w:ind w:left="117" w:right="816"/>
        <w:jc w:val="both"/>
        <w:rPr>
          <w:i/>
          <w:sz w:val="12"/>
        </w:rPr>
      </w:pPr>
      <w:r>
        <w:pict w14:anchorId="43DE0F02">
          <v:rect id="_x0000_s1042" style="position:absolute;left:0;text-align:left;margin-left:76.85pt;margin-top:35.15pt;width:441.5pt;height:.5pt;z-index:-15726592;mso-wrap-distance-left:0;mso-wrap-distance-right:0;mso-position-horizontal-relative:page" fillcolor="black" stroked="f">
            <w10:wrap type="topAndBottom" anchorx="page"/>
          </v:rect>
        </w:pict>
      </w:r>
      <w:r w:rsidR="00735DDA">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735DDA">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735DDA">
        <w:t xml:space="preserve"> </w:t>
      </w:r>
      <w:hyperlink r:id="rId11">
        <w:r w:rsidR="00735DDA">
          <w:rPr>
            <w:i/>
            <w:color w:val="0000ED"/>
            <w:sz w:val="12"/>
            <w:u w:val="single" w:color="0000ED"/>
          </w:rPr>
          <w:t>http://legalinstruments.oecd.org</w:t>
        </w:r>
      </w:hyperlink>
      <w:r w:rsidR="00735DDA">
        <w:t xml:space="preserve"> </w:t>
      </w:r>
      <w:r w:rsidR="00735DDA">
        <w:rPr>
          <w:i/>
          <w:sz w:val="12"/>
        </w:rPr>
        <w:t>"</w:t>
      </w:r>
    </w:p>
    <w:p w14:paraId="43DE0E09" w14:textId="77777777" w:rsidR="00205CD9" w:rsidRDefault="00205CD9">
      <w:pPr>
        <w:spacing w:line="252" w:lineRule="auto"/>
        <w:jc w:val="both"/>
        <w:rPr>
          <w:sz w:val="12"/>
        </w:rPr>
        <w:sectPr w:rsidR="00205CD9">
          <w:pgSz w:w="11910" w:h="16840"/>
          <w:pgMar w:top="1580" w:right="720" w:bottom="280" w:left="1420" w:header="720" w:footer="720" w:gutter="0"/>
          <w:cols w:space="720"/>
        </w:sectPr>
      </w:pPr>
    </w:p>
    <w:p w14:paraId="43DE0E0A" w14:textId="0CEBC9C2" w:rsidR="00205CD9" w:rsidRDefault="00735DDA">
      <w:pPr>
        <w:pStyle w:val="BodyText"/>
        <w:tabs>
          <w:tab w:val="left" w:pos="2288"/>
        </w:tabs>
        <w:spacing w:before="70"/>
        <w:ind w:right="101"/>
        <w:jc w:val="right"/>
      </w:pPr>
      <w:r>
        <w:rPr>
          <w:color w:val="2B2A29"/>
        </w:rPr>
        <w:lastRenderedPageBreak/>
        <w:t>OEC</w:t>
      </w:r>
      <w:r>
        <w:rPr>
          <w:color w:val="2B2A29"/>
          <w:u w:val="single" w:color="2A2928"/>
        </w:rPr>
        <w:t>D/</w:t>
      </w:r>
      <w:r>
        <w:rPr>
          <w:color w:val="2B2A29"/>
        </w:rPr>
        <w:t>L</w:t>
      </w:r>
      <w:r>
        <w:rPr>
          <w:color w:val="2B2A29"/>
          <w:u w:val="single" w:color="2A2928"/>
        </w:rPr>
        <w:t>EG</w:t>
      </w:r>
      <w:r>
        <w:rPr>
          <w:color w:val="2B2A29"/>
        </w:rPr>
        <w:t>AL/0326</w:t>
      </w:r>
      <w:r>
        <w:rPr>
          <w:rFonts w:ascii="Times New Roman"/>
          <w:color w:val="2B2A29"/>
          <w:u w:val="single" w:color="2A2928"/>
        </w:rPr>
        <w:t xml:space="preserve"> </w:t>
      </w:r>
      <w:r>
        <w:rPr>
          <w:rFonts w:ascii="Times New Roman"/>
          <w:color w:val="2B2A29"/>
          <w:u w:val="single" w:color="2A2928"/>
        </w:rPr>
        <w:tab/>
      </w:r>
      <w:r>
        <w:rPr>
          <w:b/>
          <w:color w:val="2B2A29"/>
        </w:rPr>
        <w:t>3</w:t>
      </w:r>
    </w:p>
    <w:p w14:paraId="43DE0E0B" w14:textId="77777777" w:rsidR="00205CD9" w:rsidRDefault="00200785">
      <w:pPr>
        <w:pStyle w:val="BodyText"/>
        <w:spacing w:line="20" w:lineRule="exact"/>
        <w:ind w:left="-577"/>
        <w:rPr>
          <w:sz w:val="2"/>
        </w:rPr>
      </w:pPr>
      <w:r>
        <w:rPr>
          <w:sz w:val="2"/>
        </w:rPr>
      </w:r>
      <w:r>
        <w:rPr>
          <w:sz w:val="2"/>
        </w:rPr>
        <w:pict w14:anchorId="43DE0F04">
          <v:group id="_x0000_s1040" style="width:396.1pt;height:.65pt;mso-position-horizontal-relative:char;mso-position-vertical-relative:line" coordsize="7922,13">
            <v:line id="_x0000_s1041" style="position:absolute" from="0,6" to="7921,6" strokecolor="#2a2928" strokeweight=".63pt"/>
            <w10:anchorlock/>
          </v:group>
        </w:pict>
      </w:r>
    </w:p>
    <w:p w14:paraId="43DE0E0C" w14:textId="77777777" w:rsidR="00205CD9" w:rsidRDefault="00205CD9">
      <w:pPr>
        <w:pStyle w:val="BodyText"/>
        <w:spacing w:before="9"/>
        <w:rPr>
          <w:sz w:val="15"/>
        </w:rPr>
      </w:pPr>
    </w:p>
    <w:p w14:paraId="43DE0E0D" w14:textId="77777777" w:rsidR="00205CD9" w:rsidRDefault="00735DDA">
      <w:pPr>
        <w:pStyle w:val="Heading1"/>
        <w:spacing w:before="93"/>
        <w:ind w:left="117"/>
      </w:pPr>
      <w:r>
        <w:rPr>
          <w:color w:val="1E487C"/>
        </w:rPr>
        <w:t>Обща информация</w:t>
      </w:r>
    </w:p>
    <w:p w14:paraId="43DE0E0E" w14:textId="77777777" w:rsidR="00205CD9" w:rsidRDefault="00205CD9">
      <w:pPr>
        <w:pStyle w:val="BodyText"/>
        <w:rPr>
          <w:b/>
          <w:sz w:val="26"/>
        </w:rPr>
      </w:pPr>
    </w:p>
    <w:p w14:paraId="43DE0E0F" w14:textId="77777777" w:rsidR="00205CD9" w:rsidRDefault="00205CD9">
      <w:pPr>
        <w:pStyle w:val="BodyText"/>
        <w:spacing w:before="3"/>
        <w:rPr>
          <w:b/>
          <w:sz w:val="23"/>
        </w:rPr>
      </w:pPr>
    </w:p>
    <w:p w14:paraId="43DE0E10" w14:textId="0349D724" w:rsidR="00205CD9" w:rsidRDefault="00735DDA">
      <w:pPr>
        <w:pStyle w:val="BodyText"/>
        <w:ind w:left="117" w:right="813"/>
        <w:jc w:val="both"/>
      </w:pPr>
      <w:r>
        <w:t>Препоръката на Съвета относно използването на икономически инструменти за насърчаване на опазването и устойчивото използване на биологичното разнообразие беше приета от Съвета на ОИСР на 21 април 2004 г. по предложение на Комитета по екологична политика Препоръката допринася за екологичната стратегия на ОИСР за първото десетилетие на 21-ви век, която беше одобрена от Съвета на ОИСР на министерско ниво през м. май 2001 г. и която призова за значително намаляване на заплахите за екосистемите и техните видове от загуба и фрагментация на местообитания, промени в модели на използване на земята, замърсяване, въвеждане на инвазивни видове и прекомерна експлоатация или изчезване на диви видове. Тя също така препоръчва прилагането на основани на стимули подходи за постигане на целите на политиката за биологично разнообразие. Препоръката призовава присъединилите се страни да прилагат политическа рамка, за да гарантират дългосрочно опазване на биологичното разнообразие чрез ефикасна комбинация от икономически и регулаторни инструменти и интегриране на цели, свързани с биологичното разнообразие, в секторните политики.</w:t>
      </w:r>
    </w:p>
    <w:p w14:paraId="43DE0E11" w14:textId="77777777" w:rsidR="00205CD9" w:rsidRDefault="00205CD9">
      <w:pPr>
        <w:jc w:val="both"/>
        <w:sectPr w:rsidR="00205CD9">
          <w:pgSz w:w="11910" w:h="16840"/>
          <w:pgMar w:top="760" w:right="720" w:bottom="280" w:left="1420" w:header="720" w:footer="720" w:gutter="0"/>
          <w:cols w:space="720"/>
        </w:sectPr>
      </w:pPr>
    </w:p>
    <w:p w14:paraId="43DE0E12" w14:textId="77777777" w:rsidR="00205CD9" w:rsidRDefault="00735DDA">
      <w:pPr>
        <w:pStyle w:val="Heading2"/>
        <w:spacing w:before="63"/>
        <w:jc w:val="both"/>
      </w:pPr>
      <w:r>
        <w:lastRenderedPageBreak/>
        <w:t>СЪВЕТЪТ,</w:t>
      </w:r>
    </w:p>
    <w:p w14:paraId="43DE0E13" w14:textId="6171CEE9" w:rsidR="00205CD9" w:rsidRDefault="00735DDA">
      <w:pPr>
        <w:pStyle w:val="BodyText"/>
        <w:tabs>
          <w:tab w:val="left" w:pos="677"/>
        </w:tabs>
        <w:spacing w:before="55" w:line="233" w:lineRule="exact"/>
        <w:ind w:left="110"/>
      </w:pPr>
      <w:r>
        <w:rPr>
          <w:b/>
          <w:color w:val="2B2A29"/>
          <w:u w:val="single" w:color="2A2928"/>
        </w:rPr>
        <w:t>4</w:t>
      </w:r>
      <w:r>
        <w:rPr>
          <w:b/>
          <w:color w:val="2B2A29"/>
          <w:u w:val="single" w:color="2A2928"/>
        </w:rPr>
        <w:tab/>
      </w:r>
      <w:r>
        <w:rPr>
          <w:color w:val="2B2A29"/>
          <w:u w:val="single" w:color="2A2928"/>
        </w:rPr>
        <w:t>O</w:t>
      </w:r>
      <w:r>
        <w:rPr>
          <w:color w:val="2B2A29"/>
        </w:rPr>
        <w:t>E</w:t>
      </w:r>
      <w:r>
        <w:rPr>
          <w:color w:val="2B2A29"/>
          <w:u w:val="single" w:color="2A2928"/>
        </w:rPr>
        <w:t>CD</w:t>
      </w:r>
      <w:r>
        <w:rPr>
          <w:color w:val="2B2A29"/>
        </w:rPr>
        <w:t>/L</w:t>
      </w:r>
      <w:r>
        <w:rPr>
          <w:color w:val="2B2A29"/>
          <w:u w:val="single" w:color="2A2928"/>
        </w:rPr>
        <w:t>EG</w:t>
      </w:r>
      <w:r>
        <w:rPr>
          <w:color w:val="2B2A29"/>
        </w:rPr>
        <w:t>AL/0326</w:t>
      </w:r>
    </w:p>
    <w:p w14:paraId="7EEB690E" w14:textId="77777777" w:rsidR="003B5B1F" w:rsidRDefault="003B5B1F">
      <w:pPr>
        <w:pStyle w:val="BodyText"/>
        <w:tabs>
          <w:tab w:val="left" w:pos="677"/>
        </w:tabs>
        <w:spacing w:before="55" w:line="233" w:lineRule="exact"/>
        <w:ind w:left="110"/>
      </w:pPr>
    </w:p>
    <w:p w14:paraId="43DE0E14" w14:textId="661B9C94" w:rsidR="00205CD9" w:rsidRPr="00482618" w:rsidRDefault="00735DDA">
      <w:pPr>
        <w:pStyle w:val="BodyText"/>
        <w:spacing w:line="183" w:lineRule="exact"/>
        <w:ind w:left="678"/>
        <w:jc w:val="both"/>
        <w:rPr>
          <w:sz w:val="18"/>
          <w:szCs w:val="18"/>
        </w:rPr>
      </w:pPr>
      <w:r w:rsidRPr="00482618">
        <w:rPr>
          <w:b/>
          <w:bCs/>
          <w:sz w:val="18"/>
          <w:szCs w:val="18"/>
        </w:rPr>
        <w:t>КАТО ВЗЕ ПРЕДВИД</w:t>
      </w:r>
      <w:r w:rsidRPr="00482618">
        <w:rPr>
          <w:sz w:val="18"/>
          <w:szCs w:val="18"/>
        </w:rPr>
        <w:t xml:space="preserve"> </w:t>
      </w:r>
      <w:r w:rsidRPr="00482618">
        <w:rPr>
          <w:strike/>
          <w:sz w:val="18"/>
          <w:szCs w:val="18"/>
        </w:rPr>
        <w:t>член 5</w:t>
      </w:r>
      <w:r w:rsidR="003B5B1F" w:rsidRPr="00482618">
        <w:rPr>
          <w:strike/>
          <w:sz w:val="18"/>
          <w:szCs w:val="18"/>
          <w:lang w:val="en-US"/>
        </w:rPr>
        <w:t xml:space="preserve"> </w:t>
      </w:r>
      <w:r w:rsidRPr="00482618">
        <w:rPr>
          <w:strike/>
          <w:sz w:val="18"/>
          <w:szCs w:val="18"/>
        </w:rPr>
        <w:t>б) от Конвенцията за Организацията за икономическо сътрудничество</w:t>
      </w:r>
      <w:r w:rsidRPr="00482618">
        <w:rPr>
          <w:sz w:val="18"/>
          <w:szCs w:val="18"/>
        </w:rPr>
        <w:t xml:space="preserve"> </w:t>
      </w:r>
      <w:r w:rsidRPr="00482618">
        <w:rPr>
          <w:strike/>
          <w:sz w:val="18"/>
          <w:szCs w:val="18"/>
        </w:rPr>
        <w:t xml:space="preserve">     </w:t>
      </w:r>
    </w:p>
    <w:p w14:paraId="43DE0E15" w14:textId="77777777" w:rsidR="00205CD9" w:rsidRPr="00482618" w:rsidRDefault="00735DDA">
      <w:pPr>
        <w:pStyle w:val="BodyText"/>
        <w:spacing w:before="2"/>
        <w:ind w:left="678"/>
        <w:jc w:val="both"/>
        <w:rPr>
          <w:sz w:val="18"/>
          <w:szCs w:val="18"/>
        </w:rPr>
      </w:pPr>
      <w:r w:rsidRPr="00482618">
        <w:rPr>
          <w:sz w:val="18"/>
          <w:szCs w:val="18"/>
        </w:rPr>
        <w:t xml:space="preserve">и развитие от </w:t>
      </w:r>
      <w:proofErr w:type="spellStart"/>
      <w:r w:rsidRPr="00482618">
        <w:rPr>
          <w:sz w:val="18"/>
          <w:szCs w:val="18"/>
        </w:rPr>
        <w:t>от</w:t>
      </w:r>
      <w:proofErr w:type="spellEnd"/>
      <w:r w:rsidRPr="00482618">
        <w:rPr>
          <w:sz w:val="18"/>
          <w:szCs w:val="18"/>
        </w:rPr>
        <w:t xml:space="preserve"> 14 декември 1960 г.;</w:t>
      </w:r>
    </w:p>
    <w:p w14:paraId="43DE0E16" w14:textId="77777777" w:rsidR="00205CD9" w:rsidRPr="00482618" w:rsidRDefault="00205CD9">
      <w:pPr>
        <w:pStyle w:val="BodyText"/>
        <w:spacing w:before="9"/>
        <w:rPr>
          <w:sz w:val="18"/>
          <w:szCs w:val="18"/>
        </w:rPr>
      </w:pPr>
    </w:p>
    <w:p w14:paraId="43DE0E17" w14:textId="77777777" w:rsidR="00205CD9" w:rsidRPr="00482618" w:rsidRDefault="00735DDA">
      <w:pPr>
        <w:pStyle w:val="BodyText"/>
        <w:spacing w:line="242" w:lineRule="auto"/>
        <w:ind w:left="678" w:right="675"/>
        <w:jc w:val="both"/>
        <w:rPr>
          <w:sz w:val="18"/>
          <w:szCs w:val="18"/>
        </w:rPr>
      </w:pPr>
      <w:r w:rsidRPr="00482618">
        <w:rPr>
          <w:b/>
          <w:sz w:val="18"/>
          <w:szCs w:val="18"/>
        </w:rPr>
        <w:t>КАТО ВЗЕ ПРЕДВИД</w:t>
      </w:r>
      <w:r w:rsidRPr="00482618">
        <w:rPr>
          <w:sz w:val="18"/>
          <w:szCs w:val="18"/>
        </w:rPr>
        <w:t xml:space="preserve"> Препоръката на Съвета относно ръководните принципи за международните икономически аспекти на политиките в областта на околната среда от 26 май 1972 г. [C(72)128];</w:t>
      </w:r>
    </w:p>
    <w:p w14:paraId="43DE0E18" w14:textId="77777777" w:rsidR="00205CD9" w:rsidRPr="00482618" w:rsidRDefault="00205CD9">
      <w:pPr>
        <w:pStyle w:val="BodyText"/>
        <w:spacing w:before="3"/>
        <w:rPr>
          <w:sz w:val="18"/>
          <w:szCs w:val="18"/>
        </w:rPr>
      </w:pPr>
    </w:p>
    <w:p w14:paraId="43DE0E19" w14:textId="77777777" w:rsidR="00205CD9" w:rsidRPr="00482618" w:rsidRDefault="00735DDA">
      <w:pPr>
        <w:pStyle w:val="BodyText"/>
        <w:spacing w:before="1"/>
        <w:ind w:left="678" w:right="675"/>
        <w:jc w:val="both"/>
        <w:rPr>
          <w:sz w:val="18"/>
          <w:szCs w:val="18"/>
        </w:rPr>
      </w:pPr>
      <w:r w:rsidRPr="00482618">
        <w:rPr>
          <w:b/>
          <w:sz w:val="18"/>
          <w:szCs w:val="18"/>
        </w:rPr>
        <w:t>КАТО ВЗЕ ПРЕДВИД</w:t>
      </w:r>
      <w:r w:rsidRPr="00482618">
        <w:rPr>
          <w:sz w:val="18"/>
          <w:szCs w:val="18"/>
        </w:rPr>
        <w:t xml:space="preserve"> Препоръката на Съвета относно използването на икономически инструменти в политиката в областта на околната среда от 31 януари 1991 г. [C(90)177/FINAL], което препоръчва</w:t>
      </w:r>
      <w:r w:rsidRPr="00482618">
        <w:rPr>
          <w:i/>
          <w:sz w:val="18"/>
          <w:szCs w:val="18"/>
        </w:rPr>
        <w:t xml:space="preserve">, </w:t>
      </w:r>
      <w:proofErr w:type="spellStart"/>
      <w:r w:rsidRPr="00482618">
        <w:rPr>
          <w:i/>
          <w:sz w:val="18"/>
          <w:szCs w:val="18"/>
        </w:rPr>
        <w:t>inter</w:t>
      </w:r>
      <w:proofErr w:type="spellEnd"/>
      <w:r w:rsidRPr="00482618">
        <w:rPr>
          <w:i/>
          <w:sz w:val="18"/>
          <w:szCs w:val="18"/>
        </w:rPr>
        <w:t xml:space="preserve"> </w:t>
      </w:r>
      <w:proofErr w:type="spellStart"/>
      <w:r w:rsidRPr="00482618">
        <w:rPr>
          <w:i/>
          <w:sz w:val="18"/>
          <w:szCs w:val="18"/>
        </w:rPr>
        <w:t>alia</w:t>
      </w:r>
      <w:proofErr w:type="spellEnd"/>
      <w:r w:rsidRPr="00482618">
        <w:rPr>
          <w:i/>
          <w:sz w:val="18"/>
          <w:szCs w:val="18"/>
        </w:rPr>
        <w:t>,</w:t>
      </w:r>
      <w:r w:rsidRPr="00482618">
        <w:rPr>
          <w:sz w:val="18"/>
          <w:szCs w:val="18"/>
        </w:rPr>
        <w:t xml:space="preserve"> страните-членки: i) да работят за подобряване на разпределението и ефективното използване на природни и екологични ресурси с помощта на икономически инструменти, така че да отразяват по-добре социалните разходи от използването на тези ресурси; и ii) да положат усилия за постигане на по-нататъшно споразумение на международно ниво относно използването на инструменти на политиката по околната среда по отношение на решаването на регионални или глобални екологични проблеми, както и осигуряване на устойчиво развитие;</w:t>
      </w:r>
    </w:p>
    <w:p w14:paraId="43DE0E1A" w14:textId="77777777" w:rsidR="00205CD9" w:rsidRPr="00482618" w:rsidRDefault="00205CD9">
      <w:pPr>
        <w:pStyle w:val="BodyText"/>
        <w:spacing w:before="10"/>
        <w:rPr>
          <w:sz w:val="18"/>
          <w:szCs w:val="18"/>
        </w:rPr>
      </w:pPr>
    </w:p>
    <w:p w14:paraId="43DE0E1B" w14:textId="77777777" w:rsidR="00205CD9" w:rsidRPr="00482618" w:rsidRDefault="00735DDA">
      <w:pPr>
        <w:pStyle w:val="BodyText"/>
        <w:ind w:left="678" w:right="675"/>
        <w:jc w:val="both"/>
        <w:rPr>
          <w:sz w:val="18"/>
          <w:szCs w:val="18"/>
        </w:rPr>
      </w:pPr>
      <w:r w:rsidRPr="00482618">
        <w:rPr>
          <w:b/>
          <w:sz w:val="18"/>
          <w:szCs w:val="18"/>
        </w:rPr>
        <w:t>КАТО ВЗЕ ПРЕДВИД</w:t>
      </w:r>
      <w:r w:rsidRPr="00482618">
        <w:rPr>
          <w:sz w:val="18"/>
          <w:szCs w:val="18"/>
        </w:rPr>
        <w:t xml:space="preserve"> съществуващите актове на Съвета, които препоръчват използването на икономически инструменти в различни области на политиката по околната среда, а именно: Препоръката на Съвета от 28 септември 1976 г. относно всеобхватната политика за управление на отпадъците [C(76)155(</w:t>
      </w:r>
      <w:proofErr w:type="spellStart"/>
      <w:r w:rsidRPr="00482618">
        <w:rPr>
          <w:sz w:val="18"/>
          <w:szCs w:val="18"/>
        </w:rPr>
        <w:t>Final</w:t>
      </w:r>
      <w:proofErr w:type="spellEnd"/>
      <w:r w:rsidRPr="00482618">
        <w:rPr>
          <w:sz w:val="18"/>
          <w:szCs w:val="18"/>
        </w:rPr>
        <w:t>); Препоръката на Съвета от 5 април 1978 г. относно политиките и инструментите за управление на водите [C(78)4(</w:t>
      </w:r>
      <w:proofErr w:type="spellStart"/>
      <w:r w:rsidRPr="00482618">
        <w:rPr>
          <w:sz w:val="18"/>
          <w:szCs w:val="18"/>
        </w:rPr>
        <w:t>Final</w:t>
      </w:r>
      <w:proofErr w:type="spellEnd"/>
      <w:r w:rsidRPr="00482618">
        <w:rPr>
          <w:sz w:val="18"/>
          <w:szCs w:val="18"/>
        </w:rPr>
        <w:t>)]; Препоръката на Съвета от 3 февруари 1978 г. относно повторната употреба и рециклирането на контейнери за напитки [C(78)8(</w:t>
      </w:r>
      <w:proofErr w:type="spellStart"/>
      <w:r w:rsidRPr="00482618">
        <w:rPr>
          <w:sz w:val="18"/>
          <w:szCs w:val="18"/>
        </w:rPr>
        <w:t>Final</w:t>
      </w:r>
      <w:proofErr w:type="spellEnd"/>
      <w:r w:rsidRPr="00482618">
        <w:rPr>
          <w:sz w:val="18"/>
          <w:szCs w:val="18"/>
        </w:rPr>
        <w:t>)]; Препоръката на Съвета от 3 юли 1978 г. относно политиките за намаляване на шума [C(78)73(</w:t>
      </w:r>
      <w:proofErr w:type="spellStart"/>
      <w:r w:rsidRPr="00482618">
        <w:rPr>
          <w:sz w:val="18"/>
          <w:szCs w:val="18"/>
        </w:rPr>
        <w:t>Final</w:t>
      </w:r>
      <w:proofErr w:type="spellEnd"/>
      <w:r w:rsidRPr="00482618">
        <w:rPr>
          <w:sz w:val="18"/>
          <w:szCs w:val="18"/>
        </w:rPr>
        <w:t>)]; Препоръката на Съвета от 20 юни 1985 г. относно засилване на политиките за намаляване на шума [C(85)103]; Препоръката на Съвета от 31 март 1989 г. относно политиките за управление на водните ресурси: Интеграция, управление на търсенето и защита на подземните води [C(89)12(</w:t>
      </w:r>
      <w:proofErr w:type="spellStart"/>
      <w:r w:rsidRPr="00482618">
        <w:rPr>
          <w:sz w:val="18"/>
          <w:szCs w:val="18"/>
        </w:rPr>
        <w:t>Final</w:t>
      </w:r>
      <w:proofErr w:type="spellEnd"/>
      <w:r w:rsidRPr="00482618">
        <w:rPr>
          <w:sz w:val="18"/>
          <w:szCs w:val="18"/>
        </w:rPr>
        <w:t>)]; Препоръката на Съвета за управление на крайбрежните зони от 23 юли 1992 г. [C(92)114(</w:t>
      </w:r>
      <w:proofErr w:type="spellStart"/>
      <w:r w:rsidRPr="00482618">
        <w:rPr>
          <w:sz w:val="18"/>
          <w:szCs w:val="18"/>
        </w:rPr>
        <w:t>Final</w:t>
      </w:r>
      <w:proofErr w:type="spellEnd"/>
      <w:r w:rsidRPr="00482618">
        <w:rPr>
          <w:sz w:val="18"/>
          <w:szCs w:val="18"/>
        </w:rPr>
        <w:t>)]; Препоръката на Съвета за подобряване на екологичните показатели на правителството от 20 февруари 1996 г. [C(96)39(</w:t>
      </w:r>
      <w:proofErr w:type="spellStart"/>
      <w:r w:rsidRPr="00482618">
        <w:rPr>
          <w:sz w:val="18"/>
          <w:szCs w:val="18"/>
        </w:rPr>
        <w:t>Final</w:t>
      </w:r>
      <w:proofErr w:type="spellEnd"/>
      <w:r w:rsidRPr="00482618">
        <w:rPr>
          <w:sz w:val="18"/>
          <w:szCs w:val="18"/>
        </w:rPr>
        <w:t>)];</w:t>
      </w:r>
    </w:p>
    <w:p w14:paraId="43DE0E1C" w14:textId="77777777" w:rsidR="00205CD9" w:rsidRPr="00482618" w:rsidRDefault="00205CD9">
      <w:pPr>
        <w:pStyle w:val="BodyText"/>
        <w:spacing w:before="11"/>
        <w:rPr>
          <w:sz w:val="18"/>
          <w:szCs w:val="18"/>
        </w:rPr>
      </w:pPr>
    </w:p>
    <w:p w14:paraId="43DE0E1D" w14:textId="77777777" w:rsidR="00205CD9" w:rsidRPr="00482618" w:rsidRDefault="00735DDA">
      <w:pPr>
        <w:pStyle w:val="BodyText"/>
        <w:ind w:left="678" w:right="674"/>
        <w:jc w:val="both"/>
        <w:rPr>
          <w:sz w:val="18"/>
          <w:szCs w:val="18"/>
        </w:rPr>
      </w:pPr>
      <w:r w:rsidRPr="00482618">
        <w:rPr>
          <w:b/>
          <w:sz w:val="18"/>
          <w:szCs w:val="18"/>
        </w:rPr>
        <w:t>КАТО ВЗЕ ПРЕДВИД</w:t>
      </w:r>
      <w:r w:rsidRPr="00482618">
        <w:rPr>
          <w:sz w:val="18"/>
          <w:szCs w:val="18"/>
        </w:rPr>
        <w:t xml:space="preserve"> целите относно управлението на биологичното разнообразие, изразени в Стратегията за околната среда на ОИСР за първото десетилетие на 21-ви век</w:t>
      </w:r>
      <w:r w:rsidRPr="00482618">
        <w:rPr>
          <w:i/>
          <w:sz w:val="18"/>
          <w:szCs w:val="18"/>
        </w:rPr>
        <w:t>,</w:t>
      </w:r>
      <w:r w:rsidRPr="00482618">
        <w:rPr>
          <w:sz w:val="18"/>
          <w:szCs w:val="18"/>
        </w:rPr>
        <w:t xml:space="preserve"> приета от министрите на околната среда на ОИСР и одобрена от Съвета на ОИСР на министерско ниво през м. май 2001 г., която, </w:t>
      </w:r>
      <w:proofErr w:type="spellStart"/>
      <w:r w:rsidRPr="00482618">
        <w:rPr>
          <w:i/>
          <w:sz w:val="18"/>
          <w:szCs w:val="18"/>
        </w:rPr>
        <w:t>inter</w:t>
      </w:r>
      <w:proofErr w:type="spellEnd"/>
      <w:r w:rsidRPr="00482618">
        <w:rPr>
          <w:i/>
          <w:sz w:val="18"/>
          <w:szCs w:val="18"/>
        </w:rPr>
        <w:t xml:space="preserve"> </w:t>
      </w:r>
      <w:proofErr w:type="spellStart"/>
      <w:r w:rsidRPr="00482618">
        <w:rPr>
          <w:i/>
          <w:sz w:val="18"/>
          <w:szCs w:val="18"/>
        </w:rPr>
        <w:t>alia</w:t>
      </w:r>
      <w:proofErr w:type="spellEnd"/>
      <w:r w:rsidRPr="00482618">
        <w:rPr>
          <w:i/>
          <w:sz w:val="18"/>
          <w:szCs w:val="18"/>
        </w:rPr>
        <w:t>,</w:t>
      </w:r>
      <w:r w:rsidRPr="00482618">
        <w:rPr>
          <w:sz w:val="18"/>
          <w:szCs w:val="18"/>
        </w:rPr>
        <w:t xml:space="preserve"> призовава за значително намаляване на заплахите за екосистемите и техните видове от загуба и фрагментация на местообитания, промени в моделите на използване на земята, замърсяване, въвеждане на инвазивни видове и прекомерна експлоатация или изчезване на диви видове; и като се има предвид, че министрите на околната среда на ОИСР се съгласиха в същата стратегия, че „... страните трябва да прилагат предпазни мерки, както е уместно в ситуации, при които липсва научна сигурност“;</w:t>
      </w:r>
    </w:p>
    <w:p w14:paraId="43DE0E1E" w14:textId="77777777" w:rsidR="00205CD9" w:rsidRPr="00482618" w:rsidRDefault="00205CD9">
      <w:pPr>
        <w:pStyle w:val="BodyText"/>
        <w:spacing w:before="11"/>
        <w:rPr>
          <w:sz w:val="18"/>
          <w:szCs w:val="18"/>
        </w:rPr>
      </w:pPr>
    </w:p>
    <w:p w14:paraId="43DE0E1F" w14:textId="77777777" w:rsidR="00205CD9" w:rsidRPr="00482618" w:rsidRDefault="00735DDA">
      <w:pPr>
        <w:pStyle w:val="BodyText"/>
        <w:ind w:left="678" w:right="672"/>
        <w:jc w:val="both"/>
        <w:rPr>
          <w:sz w:val="18"/>
          <w:szCs w:val="18"/>
        </w:rPr>
      </w:pPr>
      <w:r w:rsidRPr="00482618">
        <w:rPr>
          <w:b/>
          <w:sz w:val="18"/>
          <w:szCs w:val="18"/>
        </w:rPr>
        <w:t>КАТО ВЗЕ ПРЕДВИД</w:t>
      </w:r>
      <w:r w:rsidRPr="00482618">
        <w:rPr>
          <w:sz w:val="18"/>
          <w:szCs w:val="18"/>
        </w:rPr>
        <w:t xml:space="preserve"> членове 10 и 11 от Конвенцията за биологичното разнообразие, които призовават съответно страните да „интегрират съобразяването с опазването и устойчивото използване на биологичните ресурси във вземането на национални решения…“; и „доколкото е възможно и подходящо, да приемат икономически и социално обосновани мерки, които действат като стимули за опазването и устойчивото използване на компонентите на биологичното разнообразие“;</w:t>
      </w:r>
    </w:p>
    <w:p w14:paraId="43DE0E20" w14:textId="77777777" w:rsidR="00205CD9" w:rsidRPr="00482618" w:rsidRDefault="00205CD9">
      <w:pPr>
        <w:pStyle w:val="BodyText"/>
        <w:spacing w:before="10"/>
        <w:rPr>
          <w:sz w:val="18"/>
          <w:szCs w:val="18"/>
        </w:rPr>
      </w:pPr>
    </w:p>
    <w:p w14:paraId="43DE0E21" w14:textId="77777777" w:rsidR="00205CD9" w:rsidRPr="00482618" w:rsidRDefault="00735DDA">
      <w:pPr>
        <w:pStyle w:val="BodyText"/>
        <w:ind w:left="678" w:right="674"/>
        <w:jc w:val="both"/>
        <w:rPr>
          <w:sz w:val="18"/>
          <w:szCs w:val="18"/>
        </w:rPr>
      </w:pPr>
      <w:r w:rsidRPr="00482618">
        <w:rPr>
          <w:b/>
          <w:sz w:val="18"/>
          <w:szCs w:val="18"/>
        </w:rPr>
        <w:t>КАТО ВЗЕ ПРЕДВИД</w:t>
      </w:r>
      <w:r w:rsidRPr="00482618">
        <w:rPr>
          <w:sz w:val="18"/>
          <w:szCs w:val="18"/>
        </w:rPr>
        <w:t xml:space="preserve"> решения IV/10A, V/15, VI/15 (включително приложение 1) и VII/18 на Конференцията на страните по Конвенцията за биологичното разнообразие, всяко от които обсъжда връзките между оценката на биологичното разнообразие и прилагането на подходящи насърчителни мерки, и </w:t>
      </w:r>
      <w:proofErr w:type="spellStart"/>
      <w:r w:rsidRPr="00482618">
        <w:rPr>
          <w:i/>
          <w:sz w:val="18"/>
          <w:szCs w:val="18"/>
        </w:rPr>
        <w:t>inter</w:t>
      </w:r>
      <w:proofErr w:type="spellEnd"/>
      <w:r w:rsidRPr="00482618">
        <w:rPr>
          <w:i/>
          <w:sz w:val="18"/>
          <w:szCs w:val="18"/>
        </w:rPr>
        <w:t xml:space="preserve"> </w:t>
      </w:r>
      <w:proofErr w:type="spellStart"/>
      <w:r w:rsidRPr="00482618">
        <w:rPr>
          <w:i/>
          <w:sz w:val="18"/>
          <w:szCs w:val="18"/>
        </w:rPr>
        <w:t>alia</w:t>
      </w:r>
      <w:proofErr w:type="spellEnd"/>
      <w:r w:rsidRPr="00482618">
        <w:rPr>
          <w:sz w:val="18"/>
          <w:szCs w:val="18"/>
        </w:rPr>
        <w:t xml:space="preserve"> „… изисква от изпълнителния секретар да си сътрудничи с ОИСР… за да се ангажира с координирани усилия… за разработване на предложения за проектиране и прилагане на насърчителни мерки за опазване и устойчиво използване на биологичното разнообразие …“;</w:t>
      </w:r>
    </w:p>
    <w:p w14:paraId="43DE0E22" w14:textId="77777777" w:rsidR="00205CD9" w:rsidRPr="00482618" w:rsidRDefault="00205CD9">
      <w:pPr>
        <w:pStyle w:val="BodyText"/>
        <w:spacing w:before="10"/>
        <w:rPr>
          <w:sz w:val="18"/>
          <w:szCs w:val="18"/>
        </w:rPr>
      </w:pPr>
    </w:p>
    <w:p w14:paraId="43DE0E23" w14:textId="77777777" w:rsidR="00205CD9" w:rsidRPr="00482618" w:rsidRDefault="00735DDA">
      <w:pPr>
        <w:pStyle w:val="BodyText"/>
        <w:ind w:left="678" w:right="674"/>
        <w:jc w:val="both"/>
        <w:rPr>
          <w:sz w:val="18"/>
          <w:szCs w:val="18"/>
        </w:rPr>
      </w:pPr>
      <w:r w:rsidRPr="00482618">
        <w:rPr>
          <w:b/>
          <w:sz w:val="18"/>
          <w:szCs w:val="18"/>
        </w:rPr>
        <w:t>КАТО ПРИПОМНИ</w:t>
      </w:r>
      <w:r w:rsidRPr="00482618">
        <w:rPr>
          <w:sz w:val="18"/>
          <w:szCs w:val="18"/>
        </w:rPr>
        <w:t xml:space="preserve"> целта за значително намаляване на степента на загуба на биологично разнообразие до 2010 г., включена в Плана за изпълнение на Световната среща на върха за устойчиво развитие (4 септември 2002 г.) (WSSD/POI), и като взе предвид параграф 44(а) от този WSSD/POI който призовава държавите, </w:t>
      </w:r>
      <w:proofErr w:type="spellStart"/>
      <w:r w:rsidRPr="00482618">
        <w:rPr>
          <w:i/>
          <w:sz w:val="18"/>
          <w:szCs w:val="18"/>
        </w:rPr>
        <w:t>inter</w:t>
      </w:r>
      <w:proofErr w:type="spellEnd"/>
      <w:r w:rsidRPr="00482618">
        <w:rPr>
          <w:i/>
          <w:sz w:val="18"/>
          <w:szCs w:val="18"/>
        </w:rPr>
        <w:t xml:space="preserve"> </w:t>
      </w:r>
      <w:proofErr w:type="spellStart"/>
      <w:r w:rsidRPr="00482618">
        <w:rPr>
          <w:i/>
          <w:sz w:val="18"/>
          <w:szCs w:val="18"/>
        </w:rPr>
        <w:t>alia</w:t>
      </w:r>
      <w:proofErr w:type="spellEnd"/>
      <w:r w:rsidRPr="00482618">
        <w:rPr>
          <w:sz w:val="18"/>
          <w:szCs w:val="18"/>
        </w:rPr>
        <w:t>: „да интегрират целите на Конвенцията [за биологичното разнообразие] в глобални, регионални и национални секторни и междусекторни програми и политики, по-специално в програмите и политиките на икономическите сектори на държавите…“;</w:t>
      </w:r>
    </w:p>
    <w:p w14:paraId="43DE0E24" w14:textId="77777777" w:rsidR="00205CD9" w:rsidRPr="00482618" w:rsidRDefault="00205CD9">
      <w:pPr>
        <w:pStyle w:val="BodyText"/>
        <w:spacing w:before="10"/>
        <w:rPr>
          <w:sz w:val="18"/>
          <w:szCs w:val="18"/>
        </w:rPr>
      </w:pPr>
    </w:p>
    <w:p w14:paraId="43DE0E25" w14:textId="77777777" w:rsidR="00205CD9" w:rsidRPr="00482618" w:rsidRDefault="00735DDA">
      <w:pPr>
        <w:pStyle w:val="Heading2"/>
        <w:spacing w:before="1"/>
        <w:jc w:val="both"/>
        <w:rPr>
          <w:sz w:val="18"/>
          <w:szCs w:val="18"/>
        </w:rPr>
      </w:pPr>
      <w:r w:rsidRPr="00482618">
        <w:rPr>
          <w:sz w:val="18"/>
          <w:szCs w:val="18"/>
        </w:rPr>
        <w:t>По предложение на Комитета по екологична политика:</w:t>
      </w:r>
    </w:p>
    <w:p w14:paraId="43DE0E26" w14:textId="77777777" w:rsidR="00205CD9" w:rsidRPr="00482618" w:rsidRDefault="00205CD9">
      <w:pPr>
        <w:pStyle w:val="BodyText"/>
        <w:spacing w:before="10"/>
        <w:rPr>
          <w:b/>
          <w:sz w:val="18"/>
          <w:szCs w:val="18"/>
        </w:rPr>
      </w:pPr>
    </w:p>
    <w:p w14:paraId="43DE0E27" w14:textId="77777777" w:rsidR="00205CD9" w:rsidRPr="00482618" w:rsidRDefault="00735DDA">
      <w:pPr>
        <w:pStyle w:val="ListParagraph"/>
        <w:numPr>
          <w:ilvl w:val="0"/>
          <w:numId w:val="8"/>
        </w:numPr>
        <w:tabs>
          <w:tab w:val="left" w:pos="1530"/>
          <w:tab w:val="left" w:pos="1531"/>
        </w:tabs>
        <w:ind w:hanging="853"/>
        <w:rPr>
          <w:sz w:val="18"/>
          <w:szCs w:val="20"/>
        </w:rPr>
      </w:pPr>
      <w:r w:rsidRPr="00482618">
        <w:rPr>
          <w:b/>
          <w:sz w:val="18"/>
          <w:szCs w:val="20"/>
        </w:rPr>
        <w:t xml:space="preserve">ПРЕПОРЪЧВА </w:t>
      </w:r>
      <w:r w:rsidRPr="00482618">
        <w:rPr>
          <w:sz w:val="18"/>
          <w:szCs w:val="20"/>
        </w:rPr>
        <w:t>на страните-членки:</w:t>
      </w:r>
    </w:p>
    <w:p w14:paraId="43DE0E28" w14:textId="77777777" w:rsidR="00205CD9" w:rsidRPr="00482618" w:rsidRDefault="00205CD9">
      <w:pPr>
        <w:pStyle w:val="BodyText"/>
        <w:spacing w:before="10"/>
        <w:rPr>
          <w:sz w:val="18"/>
          <w:szCs w:val="18"/>
        </w:rPr>
      </w:pPr>
    </w:p>
    <w:p w14:paraId="43DE0E29" w14:textId="77777777" w:rsidR="00205CD9" w:rsidRPr="00482618" w:rsidRDefault="00735DDA">
      <w:pPr>
        <w:pStyle w:val="ListParagraph"/>
        <w:numPr>
          <w:ilvl w:val="1"/>
          <w:numId w:val="8"/>
        </w:numPr>
        <w:tabs>
          <w:tab w:val="left" w:pos="1531"/>
        </w:tabs>
        <w:ind w:right="675"/>
        <w:jc w:val="both"/>
        <w:rPr>
          <w:sz w:val="18"/>
          <w:szCs w:val="20"/>
        </w:rPr>
      </w:pPr>
      <w:r w:rsidRPr="00482618">
        <w:rPr>
          <w:sz w:val="20"/>
          <w:szCs w:val="20"/>
        </w:rPr>
        <w:t>Да разработят</w:t>
      </w:r>
      <w:r w:rsidRPr="00482618">
        <w:rPr>
          <w:sz w:val="18"/>
          <w:szCs w:val="20"/>
        </w:rPr>
        <w:t xml:space="preserve"> и прилагат политическа рамка, насочена към осигуряване на ефективно дългосрочно опазване и устойчиво използване на биологичното разнообразие и свързаните с него ресурси</w:t>
      </w:r>
      <w:r w:rsidRPr="00482618">
        <w:rPr>
          <w:sz w:val="11"/>
          <w:szCs w:val="20"/>
        </w:rPr>
        <w:t>1</w:t>
      </w:r>
      <w:r w:rsidRPr="00482618">
        <w:rPr>
          <w:sz w:val="18"/>
          <w:szCs w:val="20"/>
        </w:rPr>
        <w:t>. Общата цел на такава рамка трябва да бъде осигуряването на максимални нетни ползи</w:t>
      </w:r>
      <w:r w:rsidRPr="00482618">
        <w:rPr>
          <w:sz w:val="11"/>
          <w:szCs w:val="20"/>
        </w:rPr>
        <w:t>2</w:t>
      </w:r>
      <w:r w:rsidRPr="00482618">
        <w:rPr>
          <w:sz w:val="18"/>
          <w:szCs w:val="20"/>
        </w:rPr>
        <w:t>, както сега, така и в бъдеще, от използването</w:t>
      </w:r>
    </w:p>
    <w:p w14:paraId="43DE0E2A" w14:textId="77777777" w:rsidR="00205CD9" w:rsidRDefault="00205CD9">
      <w:pPr>
        <w:jc w:val="both"/>
        <w:rPr>
          <w:sz w:val="20"/>
        </w:rPr>
        <w:sectPr w:rsidR="00205CD9">
          <w:pgSz w:w="12240" w:h="15840"/>
          <w:pgMar w:top="500" w:right="740" w:bottom="280" w:left="740" w:header="720" w:footer="720" w:gutter="0"/>
          <w:cols w:space="720"/>
        </w:sectPr>
      </w:pPr>
    </w:p>
    <w:p w14:paraId="43DE0E2B" w14:textId="77777777" w:rsidR="00205CD9" w:rsidRDefault="00735DDA">
      <w:pPr>
        <w:pStyle w:val="BodyText"/>
        <w:spacing w:before="66"/>
        <w:ind w:left="1530"/>
      </w:pPr>
      <w:r>
        <w:lastRenderedPageBreak/>
        <w:t>и опазването на ресурсите, произтичащи от биологичното разнообразие — както и справедливо споделяне на</w:t>
      </w:r>
    </w:p>
    <w:p w14:paraId="27D205DC" w14:textId="3F379E6A" w:rsidR="005457A6" w:rsidRDefault="00735DDA">
      <w:pPr>
        <w:pStyle w:val="BodyText"/>
        <w:tabs>
          <w:tab w:val="left" w:pos="1530"/>
          <w:tab w:val="right" w:pos="10655"/>
        </w:tabs>
        <w:ind w:left="110"/>
      </w:pPr>
      <w:r w:rsidRPr="005457A6">
        <w:t xml:space="preserve"> </w:t>
      </w:r>
      <w:r w:rsidRPr="005457A6">
        <w:tab/>
      </w:r>
      <w:r>
        <w:t xml:space="preserve">тези ползи, съответстващо на националните и приложимите международни политики </w:t>
      </w:r>
    </w:p>
    <w:p w14:paraId="43DE0E2C" w14:textId="40737165" w:rsidR="00205CD9" w:rsidRDefault="00735DDA" w:rsidP="005457A6">
      <w:pPr>
        <w:pStyle w:val="BodyText"/>
        <w:tabs>
          <w:tab w:val="left" w:pos="1530"/>
          <w:tab w:val="right" w:pos="10655"/>
        </w:tabs>
        <w:ind w:left="110" w:firstLine="6910"/>
        <w:rPr>
          <w:b/>
          <w:i/>
        </w:rPr>
      </w:pPr>
      <w:r>
        <w:rPr>
          <w:u w:val="single" w:color="2A2928"/>
        </w:rPr>
        <w:t>O</w:t>
      </w:r>
      <w:r>
        <w:t>_E_</w:t>
      </w:r>
      <w:r>
        <w:rPr>
          <w:u w:val="single" w:color="2A2928"/>
        </w:rPr>
        <w:t>CD</w:t>
      </w:r>
      <w:r>
        <w:t>_/L_</w:t>
      </w:r>
      <w:r>
        <w:rPr>
          <w:u w:val="single" w:color="2A2928"/>
        </w:rPr>
        <w:t>EG</w:t>
      </w:r>
      <w:r>
        <w:t>_A_L_/_0_3_2_6</w:t>
      </w:r>
      <w:r>
        <w:rPr>
          <w:rFonts w:ascii="Times New Roman"/>
          <w:color w:val="2B2A29"/>
        </w:rPr>
        <w:t xml:space="preserve"> </w:t>
      </w:r>
      <w:r>
        <w:rPr>
          <w:rFonts w:ascii="Times New Roman"/>
          <w:color w:val="2B2A29"/>
        </w:rPr>
        <w:tab/>
      </w:r>
      <w:r>
        <w:rPr>
          <w:b/>
          <w:i/>
          <w:color w:val="2B2A29"/>
        </w:rPr>
        <w:t>5</w:t>
      </w:r>
    </w:p>
    <w:p w14:paraId="43DE0E2D" w14:textId="77777777" w:rsidR="00205CD9" w:rsidRDefault="00200785">
      <w:pPr>
        <w:pStyle w:val="BodyText"/>
        <w:spacing w:line="20" w:lineRule="exact"/>
        <w:ind w:left="10003"/>
        <w:rPr>
          <w:sz w:val="2"/>
        </w:rPr>
      </w:pPr>
      <w:r>
        <w:rPr>
          <w:sz w:val="2"/>
        </w:rPr>
      </w:r>
      <w:r>
        <w:rPr>
          <w:sz w:val="2"/>
        </w:rPr>
        <w:pict w14:anchorId="43DE0F06">
          <v:group id="_x0000_s1038" style="width:16.6pt;height:.65pt;mso-position-horizontal-relative:char;mso-position-vertical-relative:line" coordsize="332,13">
            <v:line id="_x0000_s1039" style="position:absolute" from="0,6" to="331,6" strokecolor="#2a2928" strokeweight=".63pt"/>
            <w10:anchorlock/>
          </v:group>
        </w:pict>
      </w:r>
    </w:p>
    <w:p w14:paraId="43DE0E2E" w14:textId="77777777" w:rsidR="00205CD9" w:rsidRDefault="00735DDA">
      <w:pPr>
        <w:pStyle w:val="ListParagraph"/>
        <w:numPr>
          <w:ilvl w:val="1"/>
          <w:numId w:val="8"/>
        </w:numPr>
        <w:tabs>
          <w:tab w:val="left" w:pos="1531"/>
        </w:tabs>
        <w:spacing w:before="1"/>
        <w:ind w:right="673"/>
        <w:jc w:val="both"/>
        <w:rPr>
          <w:sz w:val="20"/>
        </w:rPr>
      </w:pPr>
      <w:r>
        <w:rPr>
          <w:sz w:val="20"/>
        </w:rPr>
        <w:t>Да използват по-широко и по-последователно вътрешните икономически инструменти</w:t>
      </w:r>
      <w:r>
        <w:rPr>
          <w:sz w:val="13"/>
        </w:rPr>
        <w:t>3</w:t>
      </w:r>
      <w:r>
        <w:t xml:space="preserve"> </w:t>
      </w:r>
      <w:r>
        <w:rPr>
          <w:sz w:val="20"/>
        </w:rPr>
        <w:t>при прилагането на своите политически рамки в областта на биологичното разнообразие, като същевременно се опитват да постигнат по-нататъшно споразумение на международно ниво относно използването на базирани на икономиката инструменти за политика по отношение на опазването и управлението на биологичното разнообразие;</w:t>
      </w:r>
    </w:p>
    <w:p w14:paraId="43DE0E2F" w14:textId="77777777" w:rsidR="00205CD9" w:rsidRDefault="00735DDA">
      <w:pPr>
        <w:pStyle w:val="ListParagraph"/>
        <w:numPr>
          <w:ilvl w:val="1"/>
          <w:numId w:val="8"/>
        </w:numPr>
        <w:tabs>
          <w:tab w:val="left" w:pos="1531"/>
        </w:tabs>
        <w:spacing w:before="119"/>
        <w:ind w:right="677"/>
        <w:jc w:val="both"/>
        <w:rPr>
          <w:sz w:val="20"/>
        </w:rPr>
      </w:pPr>
      <w:r>
        <w:rPr>
          <w:sz w:val="20"/>
        </w:rPr>
        <w:t>Да интегрират пазарни и непазарни (т.е. неценови) инструменти — като се вземат предвид съответните предимства на всеки за понижаване на разходите за информация и транзакции и при справяне с „публичните“ ценности на биологичното разнообразие — в ефективен и ефикасен микс от политики; и</w:t>
      </w:r>
    </w:p>
    <w:p w14:paraId="43DE0E30" w14:textId="77777777" w:rsidR="00205CD9" w:rsidRDefault="00735DDA">
      <w:pPr>
        <w:pStyle w:val="ListParagraph"/>
        <w:numPr>
          <w:ilvl w:val="1"/>
          <w:numId w:val="8"/>
        </w:numPr>
        <w:tabs>
          <w:tab w:val="left" w:pos="1531"/>
        </w:tabs>
        <w:spacing w:before="121"/>
        <w:ind w:right="677"/>
        <w:jc w:val="both"/>
        <w:rPr>
          <w:sz w:val="20"/>
        </w:rPr>
      </w:pPr>
      <w:r>
        <w:rPr>
          <w:sz w:val="20"/>
        </w:rPr>
        <w:t>Да интегрират целите на политиката в областта на биологичното разнообразие по икономически ефективен начин в правителствените секторни политики, за да избегнат неоправдано неблагоприятно въздействие върху биологичното разнообразие и свързаните с него ресурси.</w:t>
      </w:r>
    </w:p>
    <w:p w14:paraId="43DE0E31" w14:textId="77777777" w:rsidR="00205CD9" w:rsidRDefault="00205CD9">
      <w:pPr>
        <w:pStyle w:val="BodyText"/>
        <w:spacing w:before="6"/>
      </w:pPr>
    </w:p>
    <w:p w14:paraId="43DE0E32" w14:textId="77777777" w:rsidR="00205CD9" w:rsidRDefault="00735DDA">
      <w:pPr>
        <w:pStyle w:val="ListParagraph"/>
        <w:numPr>
          <w:ilvl w:val="0"/>
          <w:numId w:val="8"/>
        </w:numPr>
        <w:tabs>
          <w:tab w:val="left" w:pos="1530"/>
          <w:tab w:val="left" w:pos="1531"/>
        </w:tabs>
        <w:spacing w:before="1" w:line="242" w:lineRule="auto"/>
        <w:ind w:left="678" w:right="681" w:firstLine="0"/>
        <w:jc w:val="both"/>
        <w:rPr>
          <w:sz w:val="20"/>
        </w:rPr>
      </w:pPr>
      <w:r>
        <w:rPr>
          <w:b/>
          <w:sz w:val="20"/>
        </w:rPr>
        <w:t>ПРЕПОРЪЧВА</w:t>
      </w:r>
      <w:r>
        <w:rPr>
          <w:sz w:val="20"/>
        </w:rPr>
        <w:t>, когато разработват и прилагат своите политики за биологично разнообразие, страните-членки да вземат предвид съображенията, изложени в приложението към настоящата препоръка, които са неразделна част от нея.</w:t>
      </w:r>
    </w:p>
    <w:p w14:paraId="43DE0E33" w14:textId="77777777" w:rsidR="00205CD9" w:rsidRDefault="00205CD9">
      <w:pPr>
        <w:pStyle w:val="BodyText"/>
        <w:spacing w:before="4"/>
      </w:pPr>
    </w:p>
    <w:p w14:paraId="43DE0E34" w14:textId="77777777" w:rsidR="00205CD9" w:rsidRDefault="00735DDA">
      <w:pPr>
        <w:pStyle w:val="ListParagraph"/>
        <w:numPr>
          <w:ilvl w:val="0"/>
          <w:numId w:val="8"/>
        </w:numPr>
        <w:tabs>
          <w:tab w:val="left" w:pos="1530"/>
          <w:tab w:val="left" w:pos="1531"/>
        </w:tabs>
        <w:ind w:hanging="853"/>
        <w:jc w:val="both"/>
        <w:rPr>
          <w:sz w:val="20"/>
        </w:rPr>
      </w:pPr>
      <w:r>
        <w:rPr>
          <w:b/>
          <w:bCs/>
          <w:sz w:val="20"/>
        </w:rPr>
        <w:t>УКАЗВА</w:t>
      </w:r>
      <w:r>
        <w:rPr>
          <w:sz w:val="20"/>
        </w:rPr>
        <w:t xml:space="preserve"> на Комитета по екологична политика и други релевантни органи на Организацията:</w:t>
      </w:r>
    </w:p>
    <w:p w14:paraId="43DE0E35" w14:textId="77777777" w:rsidR="00205CD9" w:rsidRDefault="00205CD9">
      <w:pPr>
        <w:pStyle w:val="BodyText"/>
        <w:spacing w:before="11"/>
      </w:pPr>
    </w:p>
    <w:p w14:paraId="43DE0E36" w14:textId="77777777" w:rsidR="00205CD9" w:rsidRDefault="00735DDA">
      <w:pPr>
        <w:pStyle w:val="ListParagraph"/>
        <w:numPr>
          <w:ilvl w:val="1"/>
          <w:numId w:val="8"/>
        </w:numPr>
        <w:tabs>
          <w:tab w:val="left" w:pos="1531"/>
        </w:tabs>
        <w:ind w:right="677"/>
        <w:jc w:val="both"/>
        <w:rPr>
          <w:sz w:val="20"/>
        </w:rPr>
      </w:pPr>
      <w:r>
        <w:rPr>
          <w:sz w:val="20"/>
        </w:rPr>
        <w:t>Да подкрепят усилията на страните-членки за прилагане на основани на стимули подходи за постигане на целите на политиката в областта на биологичното разнообразие: чрез проучване на приложимостта на такива инструменти; чрез предоставяне на подходящи насоки за тяхното използване; и чрез обмен на информация относно проектирането или избора на конкретни инструменти, включително реформата на съществуващите и предложените мерки, които (могат да) имат вредни последици за биологичното разнообразие;</w:t>
      </w:r>
    </w:p>
    <w:p w14:paraId="43DE0E37" w14:textId="77777777" w:rsidR="00205CD9" w:rsidRDefault="00735DDA">
      <w:pPr>
        <w:pStyle w:val="ListParagraph"/>
        <w:numPr>
          <w:ilvl w:val="1"/>
          <w:numId w:val="8"/>
        </w:numPr>
        <w:tabs>
          <w:tab w:val="left" w:pos="1531"/>
        </w:tabs>
        <w:spacing w:before="122"/>
        <w:ind w:right="681"/>
        <w:jc w:val="both"/>
        <w:rPr>
          <w:sz w:val="20"/>
        </w:rPr>
      </w:pPr>
      <w:r>
        <w:rPr>
          <w:sz w:val="20"/>
        </w:rPr>
        <w:t>Да продължат да подкрепят усилията на Конвенцията за биологичното разнообразие за подобряване на ефикасното и ефективно прилагане на основани на стимули подходи за опазване и устойчиво използване на биологичното разнообразие;</w:t>
      </w:r>
    </w:p>
    <w:p w14:paraId="43DE0E38" w14:textId="77777777" w:rsidR="00205CD9" w:rsidRDefault="00735DDA">
      <w:pPr>
        <w:pStyle w:val="ListParagraph"/>
        <w:numPr>
          <w:ilvl w:val="1"/>
          <w:numId w:val="8"/>
        </w:numPr>
        <w:tabs>
          <w:tab w:val="left" w:pos="1531"/>
        </w:tabs>
        <w:spacing w:before="119"/>
        <w:ind w:right="678"/>
        <w:jc w:val="both"/>
        <w:rPr>
          <w:sz w:val="20"/>
        </w:rPr>
      </w:pPr>
      <w:r>
        <w:rPr>
          <w:sz w:val="20"/>
        </w:rPr>
        <w:t>Да преразгледат действията, предприети от страните-членки съгласно настоящата препоръка в рамките на три години след приемането ѝ; и</w:t>
      </w:r>
    </w:p>
    <w:p w14:paraId="43DE0E39" w14:textId="77777777" w:rsidR="00205CD9" w:rsidRDefault="00735DDA">
      <w:pPr>
        <w:pStyle w:val="ListParagraph"/>
        <w:numPr>
          <w:ilvl w:val="1"/>
          <w:numId w:val="8"/>
        </w:numPr>
        <w:tabs>
          <w:tab w:val="left" w:pos="1531"/>
        </w:tabs>
        <w:spacing w:before="121"/>
        <w:ind w:right="679"/>
        <w:jc w:val="both"/>
        <w:rPr>
          <w:sz w:val="20"/>
        </w:rPr>
      </w:pPr>
      <w:r>
        <w:rPr>
          <w:sz w:val="20"/>
        </w:rPr>
        <w:t>Да подпомагат трети страни в разработването и прилагането на политически рамки, които допринасят за постигането на целите на настоящата препоръка в тези страни.</w:t>
      </w:r>
    </w:p>
    <w:p w14:paraId="43DE0E3A" w14:textId="77777777" w:rsidR="00205CD9" w:rsidRDefault="00205CD9">
      <w:pPr>
        <w:jc w:val="both"/>
        <w:rPr>
          <w:sz w:val="20"/>
        </w:rPr>
        <w:sectPr w:rsidR="00205CD9">
          <w:pgSz w:w="12240" w:h="15840"/>
          <w:pgMar w:top="500" w:right="740" w:bottom="280" w:left="740" w:header="720" w:footer="720" w:gutter="0"/>
          <w:cols w:space="720"/>
        </w:sectPr>
      </w:pPr>
    </w:p>
    <w:p w14:paraId="43DE0E3B" w14:textId="77777777" w:rsidR="00205CD9" w:rsidRDefault="00735DDA">
      <w:pPr>
        <w:spacing w:before="64"/>
        <w:ind w:right="1"/>
        <w:jc w:val="center"/>
        <w:rPr>
          <w:sz w:val="24"/>
        </w:rPr>
      </w:pPr>
      <w:r>
        <w:rPr>
          <w:sz w:val="24"/>
        </w:rPr>
        <w:lastRenderedPageBreak/>
        <w:t>ПРИЛОЖЕНИЕ</w:t>
      </w:r>
    </w:p>
    <w:p w14:paraId="3D598C2C" w14:textId="77777777" w:rsidR="00E2456D" w:rsidRDefault="00E2456D">
      <w:pPr>
        <w:pStyle w:val="BodyText"/>
        <w:tabs>
          <w:tab w:val="left" w:pos="566"/>
        </w:tabs>
        <w:spacing w:before="8" w:line="184" w:lineRule="exact"/>
        <w:ind w:right="8195"/>
        <w:jc w:val="center"/>
        <w:rPr>
          <w:b/>
          <w:color w:val="2B2A29"/>
          <w:u w:val="single" w:color="2A2928"/>
        </w:rPr>
      </w:pPr>
    </w:p>
    <w:p w14:paraId="43DE0E3C" w14:textId="36538672" w:rsidR="00205CD9" w:rsidRDefault="00735DDA" w:rsidP="00E2456D">
      <w:pPr>
        <w:pStyle w:val="BodyText"/>
        <w:tabs>
          <w:tab w:val="left" w:pos="566"/>
          <w:tab w:val="left" w:pos="2340"/>
        </w:tabs>
        <w:spacing w:before="8" w:line="184" w:lineRule="exact"/>
        <w:ind w:right="6260"/>
        <w:jc w:val="center"/>
      </w:pPr>
      <w:r>
        <w:rPr>
          <w:b/>
          <w:color w:val="2B2A29"/>
          <w:u w:val="single" w:color="2A2928"/>
        </w:rPr>
        <w:t>6</w:t>
      </w:r>
      <w:r>
        <w:rPr>
          <w:b/>
          <w:color w:val="2B2A29"/>
          <w:u w:val="single" w:color="2A2928"/>
        </w:rPr>
        <w:tab/>
      </w:r>
      <w:r>
        <w:rPr>
          <w:color w:val="2B2A29"/>
          <w:u w:val="single" w:color="2A2928"/>
        </w:rPr>
        <w:t>O</w:t>
      </w:r>
      <w:r>
        <w:rPr>
          <w:color w:val="2B2A29"/>
        </w:rPr>
        <w:t>_E_</w:t>
      </w:r>
      <w:r>
        <w:rPr>
          <w:color w:val="2B2A29"/>
          <w:u w:val="single" w:color="2A2928"/>
        </w:rPr>
        <w:t>CD</w:t>
      </w:r>
      <w:r>
        <w:rPr>
          <w:color w:val="2B2A29"/>
        </w:rPr>
        <w:t>_/L_</w:t>
      </w:r>
      <w:r>
        <w:rPr>
          <w:color w:val="2B2A29"/>
          <w:u w:val="single" w:color="2A2928"/>
        </w:rPr>
        <w:t>EG</w:t>
      </w:r>
      <w:r>
        <w:rPr>
          <w:color w:val="2B2A29"/>
        </w:rPr>
        <w:t>_A_L_/_0_3_2_6</w:t>
      </w:r>
    </w:p>
    <w:p w14:paraId="43DE0E3D" w14:textId="77777777" w:rsidR="00205CD9" w:rsidRDefault="00735DDA" w:rsidP="002E0E63">
      <w:pPr>
        <w:pStyle w:val="Heading2"/>
        <w:tabs>
          <w:tab w:val="left" w:pos="10341"/>
        </w:tabs>
        <w:ind w:left="720" w:right="416" w:hanging="25"/>
      </w:pPr>
      <w:r>
        <w:t xml:space="preserve">ИКОНОМИЧЕСКИ </w:t>
      </w:r>
      <w:r>
        <w:rPr>
          <w:strike/>
        </w:rPr>
        <w:t>СЪОБРАЖЕНИЯ, КОИТО ТРЯБВА ДА СЕ ВЗЕМАТ ПРЕДВИД ОТ СТРАНИ-ЧЛЕНКИ НА ОИСР ЗА</w:t>
      </w:r>
      <w:r>
        <w:t xml:space="preserve"> НАСЪРЧАВАНЕ НА ОПАЗВАНЕТО И УСТОЙЧИВОТО ИЗПОЛЗВАНЕ НА БИОЛОГИЧНОТО РАЗНООБРАЗИЕ</w:t>
      </w:r>
      <w:r>
        <w:rPr>
          <w:vertAlign w:val="superscript"/>
        </w:rPr>
        <w:t>4</w:t>
      </w:r>
      <w:r>
        <w:t xml:space="preserve"> </w:t>
      </w:r>
      <w:r>
        <w:rPr>
          <w:vertAlign w:val="superscript"/>
        </w:rPr>
        <w:t>5</w:t>
      </w:r>
    </w:p>
    <w:p w14:paraId="43DE0E3E" w14:textId="77777777" w:rsidR="00205CD9" w:rsidRDefault="00205CD9">
      <w:pPr>
        <w:pStyle w:val="BodyText"/>
        <w:spacing w:before="1"/>
        <w:rPr>
          <w:b/>
        </w:rPr>
      </w:pPr>
    </w:p>
    <w:p w14:paraId="43DE0E3F" w14:textId="77777777" w:rsidR="00205CD9" w:rsidRPr="00E81862" w:rsidRDefault="00735DDA">
      <w:pPr>
        <w:pStyle w:val="ListParagraph"/>
        <w:numPr>
          <w:ilvl w:val="0"/>
          <w:numId w:val="7"/>
        </w:numPr>
        <w:tabs>
          <w:tab w:val="left" w:pos="1530"/>
          <w:tab w:val="left" w:pos="1531"/>
        </w:tabs>
        <w:ind w:right="675" w:firstLine="0"/>
        <w:rPr>
          <w:b/>
          <w:sz w:val="16"/>
          <w:szCs w:val="18"/>
        </w:rPr>
      </w:pPr>
      <w:r w:rsidRPr="00E81862">
        <w:rPr>
          <w:b/>
          <w:sz w:val="16"/>
          <w:szCs w:val="18"/>
        </w:rPr>
        <w:t>РАМКА ЗА ИЗПОЛЗВАНЕ НА ИКОНОМИЧЕСКИ ИНСТРУМЕНТИ ЗА ОПАЗВАНЕ И УСТОЙЧИВО ИЗПОЛЗВАНЕ НА БИОЛОГИЧНОТО РАЗНООБРАЗИЕ: КЛЮЧОВИ ЕЛЕМЕНТИ</w:t>
      </w:r>
    </w:p>
    <w:p w14:paraId="43DE0E40" w14:textId="77777777" w:rsidR="00205CD9" w:rsidRPr="00E81862" w:rsidRDefault="00205CD9">
      <w:pPr>
        <w:pStyle w:val="BodyText"/>
        <w:rPr>
          <w:b/>
          <w:sz w:val="18"/>
          <w:szCs w:val="16"/>
        </w:rPr>
      </w:pPr>
    </w:p>
    <w:p w14:paraId="43DE0E41" w14:textId="77777777" w:rsidR="00205CD9" w:rsidRPr="00E81862" w:rsidRDefault="00735DDA">
      <w:pPr>
        <w:pStyle w:val="ListParagraph"/>
        <w:numPr>
          <w:ilvl w:val="1"/>
          <w:numId w:val="7"/>
        </w:numPr>
        <w:tabs>
          <w:tab w:val="left" w:pos="1531"/>
        </w:tabs>
        <w:ind w:right="675"/>
        <w:jc w:val="both"/>
        <w:rPr>
          <w:sz w:val="16"/>
          <w:szCs w:val="18"/>
        </w:rPr>
      </w:pPr>
      <w:r w:rsidRPr="00E81862">
        <w:rPr>
          <w:sz w:val="16"/>
          <w:szCs w:val="18"/>
        </w:rPr>
        <w:t>Общата цел на политическата рамка за управление на биологичното разнообразие трябва да бъде постигането на ефективно дългосрочно опазване и устойчиво използване на биологичното разнообразие и свързаните с него ресурси — както и справедливо споделяне на ползите, което е в съответствие с националното и приложимото международно законодателство. Когато рамката на политиката за биологично разнообразие отчита всички обществени ценности на биологичното разнообразие и последствията, които използването ѝ може впоследствие да има върху всички засегнати индивиди (включително бъдещите поколения), използването на ресурсите на биологичното разнообразие ще бъде в съответствие с постигането на най-голяма нетна полза за обществото в дългосрочен план.</w:t>
      </w:r>
    </w:p>
    <w:p w14:paraId="43DE0E42" w14:textId="77777777" w:rsidR="00205CD9" w:rsidRPr="00E81862" w:rsidRDefault="00735DDA">
      <w:pPr>
        <w:pStyle w:val="ListParagraph"/>
        <w:numPr>
          <w:ilvl w:val="1"/>
          <w:numId w:val="7"/>
        </w:numPr>
        <w:tabs>
          <w:tab w:val="left" w:pos="1531"/>
        </w:tabs>
        <w:spacing w:before="120"/>
        <w:ind w:right="673"/>
        <w:jc w:val="both"/>
        <w:rPr>
          <w:sz w:val="16"/>
          <w:szCs w:val="18"/>
        </w:rPr>
      </w:pPr>
      <w:r w:rsidRPr="00E81862">
        <w:rPr>
          <w:sz w:val="16"/>
          <w:szCs w:val="18"/>
        </w:rPr>
        <w:t>Изборът на конкретни инструменти е сложен и зависи от специфичните институционални, икономически и социални нужди. Вариантите на политиката трябва да бъдат систематично анализирани с оглед минимизиране на разходите за публична администрация, мониторинг и налагане, както и частните разходи за прилагане. Тъй като базираните на пазара инструменти често са рентабилни — и като цяло се използват недостатъчно — те трябва да бъдат насърчавани. Независимо от това, в много случаи ще е необходимо също така да се използват непазарни инструменти в ефективен микс от политики — за да се постигне ефективно дългосрочно ниво на опазване и устойчиво използване на биологичното разнообразие.</w:t>
      </w:r>
    </w:p>
    <w:p w14:paraId="43DE0E43" w14:textId="77777777" w:rsidR="00205CD9" w:rsidRPr="00E81862" w:rsidRDefault="00735DDA">
      <w:pPr>
        <w:pStyle w:val="ListParagraph"/>
        <w:numPr>
          <w:ilvl w:val="1"/>
          <w:numId w:val="7"/>
        </w:numPr>
        <w:tabs>
          <w:tab w:val="left" w:pos="1531"/>
        </w:tabs>
        <w:spacing w:before="118"/>
        <w:ind w:right="677"/>
        <w:jc w:val="both"/>
        <w:rPr>
          <w:sz w:val="16"/>
          <w:szCs w:val="18"/>
        </w:rPr>
      </w:pPr>
      <w:r w:rsidRPr="00E81862">
        <w:rPr>
          <w:sz w:val="16"/>
          <w:szCs w:val="18"/>
        </w:rPr>
        <w:t>Правилно проектирани и приложени, икономическите инструменти ще бъдат важна част от основан на стимули подход за устойчиво управление на биологичното разнообразие. Използването на тези икономически инструменти често ще изисква някаква форма на оценка на основните ресурси на биологичното разнообразие, за да се интегрират непазарните аспекти на биологичното разнообразие в икономическите решения. Това ще помогне за определянето на политически цели на подходящо ниво.</w:t>
      </w:r>
    </w:p>
    <w:p w14:paraId="43DE0E44" w14:textId="77777777" w:rsidR="00205CD9" w:rsidRPr="00E81862" w:rsidRDefault="00735DDA">
      <w:pPr>
        <w:pStyle w:val="ListParagraph"/>
        <w:numPr>
          <w:ilvl w:val="1"/>
          <w:numId w:val="7"/>
        </w:numPr>
        <w:tabs>
          <w:tab w:val="left" w:pos="1531"/>
        </w:tabs>
        <w:spacing w:before="119"/>
        <w:ind w:right="671"/>
        <w:jc w:val="both"/>
        <w:rPr>
          <w:sz w:val="16"/>
          <w:szCs w:val="18"/>
        </w:rPr>
      </w:pPr>
      <w:r w:rsidRPr="00E81862">
        <w:rPr>
          <w:sz w:val="16"/>
          <w:szCs w:val="18"/>
        </w:rPr>
        <w:t>Икономическите инструменти също трябва да се разглеждат в по-широкия контекст на пазарен подход за насърчаване на целите за биологично разнообразие. Следователно програма за създаване на пазар ще бъде важен елемент от ефективна и ефикасна рамка за управление на биологичното разнообразие. Част от този дневен ред ще включва установяването на правила и процедури, които карат пазарите да работят ефективно и ефикасно. Рамките за споразумения за достъп, които улесняват пазарния обмен на ресурси, свързани с биологичното разнообразие, са примери за инициативи в тази посока.</w:t>
      </w:r>
    </w:p>
    <w:p w14:paraId="43DE0E45" w14:textId="77777777" w:rsidR="00205CD9" w:rsidRPr="00E81862" w:rsidRDefault="00735DDA">
      <w:pPr>
        <w:pStyle w:val="ListParagraph"/>
        <w:numPr>
          <w:ilvl w:val="1"/>
          <w:numId w:val="7"/>
        </w:numPr>
        <w:tabs>
          <w:tab w:val="left" w:pos="1531"/>
        </w:tabs>
        <w:spacing w:before="118"/>
        <w:ind w:right="680"/>
        <w:jc w:val="both"/>
        <w:rPr>
          <w:sz w:val="16"/>
          <w:szCs w:val="18"/>
        </w:rPr>
      </w:pPr>
      <w:r w:rsidRPr="00E81862">
        <w:rPr>
          <w:sz w:val="16"/>
          <w:szCs w:val="18"/>
        </w:rPr>
        <w:t>Секторните политики трябва да се разработват по начини, които са в съответствие с целите за биологичното разнообразие. Оценката на въздействието върху биологичното разнообразие обикновено ще бъде важен компонент от това търсене на съгласуваност на политиките.</w:t>
      </w:r>
    </w:p>
    <w:p w14:paraId="43DE0E46" w14:textId="77777777" w:rsidR="00205CD9" w:rsidRPr="00E81862" w:rsidRDefault="00735DDA">
      <w:pPr>
        <w:pStyle w:val="ListParagraph"/>
        <w:numPr>
          <w:ilvl w:val="1"/>
          <w:numId w:val="7"/>
        </w:numPr>
        <w:tabs>
          <w:tab w:val="left" w:pos="1531"/>
        </w:tabs>
        <w:spacing w:before="118"/>
        <w:ind w:right="675"/>
        <w:jc w:val="both"/>
        <w:rPr>
          <w:sz w:val="16"/>
          <w:szCs w:val="18"/>
        </w:rPr>
      </w:pPr>
      <w:r w:rsidRPr="00E81862">
        <w:rPr>
          <w:sz w:val="16"/>
          <w:szCs w:val="18"/>
        </w:rPr>
        <w:t xml:space="preserve">Необходимо е да се работи с други страни-членки и страни, </w:t>
      </w:r>
      <w:proofErr w:type="spellStart"/>
      <w:r w:rsidRPr="00E81862">
        <w:rPr>
          <w:sz w:val="16"/>
          <w:szCs w:val="18"/>
        </w:rPr>
        <w:t>нечленуващи</w:t>
      </w:r>
      <w:proofErr w:type="spellEnd"/>
      <w:r w:rsidRPr="00E81862">
        <w:rPr>
          <w:sz w:val="16"/>
          <w:szCs w:val="18"/>
        </w:rPr>
        <w:t xml:space="preserve"> в ОИСР за прилагане на ефективни и устойчиви политики за управление на биологичното разнообразие на международно ниво (напр. чрез програмата за сътрудничество за развитие; за опазване на мигриращи видове и водни ресурси и т.н.), в контекста на наличните международни споразумения, свързани с биологичното разнообразие, като същевременно отразяват конкретните разходи и ползи, пред които са изправени отделните страни.</w:t>
      </w:r>
    </w:p>
    <w:p w14:paraId="43DE0E47" w14:textId="77777777" w:rsidR="00205CD9" w:rsidRPr="00E81862" w:rsidRDefault="00735DDA">
      <w:pPr>
        <w:pStyle w:val="ListParagraph"/>
        <w:numPr>
          <w:ilvl w:val="1"/>
          <w:numId w:val="7"/>
        </w:numPr>
        <w:tabs>
          <w:tab w:val="left" w:pos="1531"/>
        </w:tabs>
        <w:spacing w:before="119"/>
        <w:ind w:right="682"/>
        <w:jc w:val="both"/>
        <w:rPr>
          <w:sz w:val="16"/>
          <w:szCs w:val="18"/>
        </w:rPr>
      </w:pPr>
      <w:r w:rsidRPr="00E81862">
        <w:rPr>
          <w:sz w:val="16"/>
          <w:szCs w:val="18"/>
        </w:rPr>
        <w:t>Необходимо е да се установят подходящи цели и графици за ефикасни и ефективни политики в областта на биологичното разнообразие, а напредъкът към тези цели трябва да се наблюдава периодично.</w:t>
      </w:r>
    </w:p>
    <w:p w14:paraId="43DE0E48" w14:textId="77777777" w:rsidR="00205CD9" w:rsidRPr="00E81862" w:rsidRDefault="00205CD9">
      <w:pPr>
        <w:pStyle w:val="BodyText"/>
        <w:spacing w:before="7"/>
        <w:rPr>
          <w:sz w:val="16"/>
          <w:szCs w:val="16"/>
        </w:rPr>
      </w:pPr>
    </w:p>
    <w:p w14:paraId="43DE0E49" w14:textId="77777777" w:rsidR="00205CD9" w:rsidRPr="00E81862" w:rsidRDefault="00735DDA">
      <w:pPr>
        <w:pStyle w:val="Heading2"/>
        <w:numPr>
          <w:ilvl w:val="0"/>
          <w:numId w:val="7"/>
        </w:numPr>
        <w:tabs>
          <w:tab w:val="left" w:pos="1398"/>
          <w:tab w:val="left" w:pos="1399"/>
        </w:tabs>
        <w:ind w:left="1398" w:hanging="721"/>
        <w:rPr>
          <w:sz w:val="16"/>
          <w:szCs w:val="16"/>
        </w:rPr>
      </w:pPr>
      <w:r w:rsidRPr="00E81862">
        <w:rPr>
          <w:sz w:val="16"/>
          <w:szCs w:val="16"/>
        </w:rPr>
        <w:t>БАЗИРАНИ НА СТИМУЛИ ИНСТРУМЕНТИ В УПРАВЛЕНИЕТО НА БИОЛОГИЧНОТО РАЗНООБРАЗИЕ</w:t>
      </w:r>
    </w:p>
    <w:p w14:paraId="43DE0E4A" w14:textId="77777777" w:rsidR="00205CD9" w:rsidRPr="00E81862" w:rsidRDefault="00205CD9">
      <w:pPr>
        <w:pStyle w:val="BodyText"/>
        <w:spacing w:before="2"/>
        <w:rPr>
          <w:b/>
          <w:sz w:val="18"/>
          <w:szCs w:val="16"/>
        </w:rPr>
      </w:pPr>
    </w:p>
    <w:p w14:paraId="43DE0E4B" w14:textId="77777777" w:rsidR="00205CD9" w:rsidRPr="00E81862" w:rsidRDefault="00735DDA">
      <w:pPr>
        <w:pStyle w:val="BodyText"/>
        <w:ind w:left="678" w:right="686"/>
        <w:jc w:val="both"/>
        <w:rPr>
          <w:sz w:val="16"/>
          <w:szCs w:val="16"/>
        </w:rPr>
      </w:pPr>
      <w:r w:rsidRPr="00E81862">
        <w:rPr>
          <w:sz w:val="16"/>
          <w:szCs w:val="16"/>
        </w:rPr>
        <w:t>Стимулиращите мерки са важни елементи на стратегиите за опазване и устойчиво използване на биологичното разнообразие. Стимулиращите мерки често използват ценовата система и пазарните сили за постигане на своите цели. Те също:</w:t>
      </w:r>
    </w:p>
    <w:p w14:paraId="43DE0E4C" w14:textId="77777777" w:rsidR="00205CD9" w:rsidRPr="00E81862" w:rsidRDefault="00205CD9">
      <w:pPr>
        <w:pStyle w:val="BodyText"/>
        <w:spacing w:before="10"/>
        <w:rPr>
          <w:sz w:val="16"/>
          <w:szCs w:val="16"/>
        </w:rPr>
      </w:pPr>
    </w:p>
    <w:p w14:paraId="43DE0E4D" w14:textId="77777777" w:rsidR="00205CD9" w:rsidRPr="00E81862" w:rsidRDefault="00735DDA">
      <w:pPr>
        <w:pStyle w:val="ListParagraph"/>
        <w:numPr>
          <w:ilvl w:val="1"/>
          <w:numId w:val="7"/>
        </w:numPr>
        <w:tabs>
          <w:tab w:val="left" w:pos="1530"/>
          <w:tab w:val="left" w:pos="1531"/>
        </w:tabs>
        <w:ind w:right="681" w:hanging="495"/>
        <w:rPr>
          <w:sz w:val="16"/>
          <w:szCs w:val="18"/>
        </w:rPr>
      </w:pPr>
      <w:r w:rsidRPr="00E81862">
        <w:rPr>
          <w:sz w:val="16"/>
          <w:szCs w:val="18"/>
        </w:rPr>
        <w:t>Разчитат на предпоставката, че рационалните индивиди ще реагират на промените в относителните разходи и ползи от избора, който правят;</w:t>
      </w:r>
    </w:p>
    <w:p w14:paraId="43DE0E4E" w14:textId="77777777" w:rsidR="00205CD9" w:rsidRPr="00E81862" w:rsidRDefault="00735DDA">
      <w:pPr>
        <w:pStyle w:val="ListParagraph"/>
        <w:numPr>
          <w:ilvl w:val="1"/>
          <w:numId w:val="7"/>
        </w:numPr>
        <w:tabs>
          <w:tab w:val="left" w:pos="1530"/>
          <w:tab w:val="left" w:pos="1531"/>
        </w:tabs>
        <w:spacing w:before="118"/>
        <w:ind w:right="682" w:hanging="495"/>
        <w:rPr>
          <w:sz w:val="16"/>
          <w:szCs w:val="18"/>
        </w:rPr>
      </w:pPr>
      <w:r w:rsidRPr="00E81862">
        <w:rPr>
          <w:sz w:val="16"/>
          <w:szCs w:val="18"/>
        </w:rPr>
        <w:t>Подпомагат съгласуване на различията между стойността на биологичното разнообразие за отделните хора и за обществото като цяло;</w:t>
      </w:r>
    </w:p>
    <w:p w14:paraId="43DE0E4F" w14:textId="77777777" w:rsidR="00205CD9" w:rsidRPr="00E81862" w:rsidRDefault="00735DDA">
      <w:pPr>
        <w:pStyle w:val="ListParagraph"/>
        <w:numPr>
          <w:ilvl w:val="1"/>
          <w:numId w:val="7"/>
        </w:numPr>
        <w:tabs>
          <w:tab w:val="left" w:pos="1530"/>
          <w:tab w:val="left" w:pos="1531"/>
        </w:tabs>
        <w:spacing w:before="117"/>
        <w:ind w:right="676" w:hanging="495"/>
        <w:rPr>
          <w:sz w:val="16"/>
          <w:szCs w:val="18"/>
        </w:rPr>
      </w:pPr>
      <w:r w:rsidRPr="00E81862">
        <w:rPr>
          <w:sz w:val="16"/>
          <w:szCs w:val="18"/>
        </w:rPr>
        <w:t>Увеличават възвращаемостта от дейности, които опазват или възстановяват екосистеми, които са особено важни за биологичното разнообразие;</w:t>
      </w:r>
    </w:p>
    <w:p w14:paraId="43DE0E50" w14:textId="77777777" w:rsidR="00205CD9" w:rsidRPr="00E81862" w:rsidRDefault="00735DDA">
      <w:pPr>
        <w:pStyle w:val="ListParagraph"/>
        <w:numPr>
          <w:ilvl w:val="1"/>
          <w:numId w:val="7"/>
        </w:numPr>
        <w:tabs>
          <w:tab w:val="left" w:pos="1530"/>
          <w:tab w:val="left" w:pos="1531"/>
        </w:tabs>
        <w:spacing w:before="118"/>
        <w:ind w:right="684" w:hanging="495"/>
        <w:rPr>
          <w:sz w:val="16"/>
          <w:szCs w:val="18"/>
        </w:rPr>
      </w:pPr>
      <w:r w:rsidRPr="00E81862">
        <w:rPr>
          <w:sz w:val="16"/>
          <w:szCs w:val="18"/>
        </w:rPr>
        <w:t>Увеличават разходите (т.е. намаляване на възвращаемостта) от дейности, които увреждат екосистемите, които са особено важни за биологичното разнообразие; и</w:t>
      </w:r>
    </w:p>
    <w:p w14:paraId="43DE0E51" w14:textId="77777777" w:rsidR="00205CD9" w:rsidRDefault="00205CD9">
      <w:pPr>
        <w:rPr>
          <w:sz w:val="20"/>
        </w:rPr>
        <w:sectPr w:rsidR="00205CD9">
          <w:pgSz w:w="12240" w:h="15840"/>
          <w:pgMar w:top="500" w:right="740" w:bottom="280" w:left="740" w:header="720" w:footer="720" w:gutter="0"/>
          <w:cols w:space="720"/>
        </w:sectPr>
      </w:pPr>
    </w:p>
    <w:p w14:paraId="43DE0E52" w14:textId="77777777" w:rsidR="00205CD9" w:rsidRDefault="00735DDA">
      <w:pPr>
        <w:pStyle w:val="ListParagraph"/>
        <w:numPr>
          <w:ilvl w:val="1"/>
          <w:numId w:val="7"/>
        </w:numPr>
        <w:tabs>
          <w:tab w:val="left" w:pos="1530"/>
          <w:tab w:val="left" w:pos="1531"/>
        </w:tabs>
        <w:spacing w:before="84"/>
        <w:ind w:hanging="495"/>
        <w:rPr>
          <w:sz w:val="20"/>
        </w:rPr>
      </w:pPr>
      <w:r>
        <w:rPr>
          <w:sz w:val="20"/>
        </w:rPr>
        <w:lastRenderedPageBreak/>
        <w:t>Изравняват игралното поле между (обикновено поддаваща се на наблюдение употреба) възвращаемостта от влошаването на биологичното разнообразие</w:t>
      </w:r>
    </w:p>
    <w:p w14:paraId="196E1A3A" w14:textId="6DEEA124" w:rsidR="00294DBE" w:rsidRDefault="00735DDA" w:rsidP="00294DBE">
      <w:pPr>
        <w:pStyle w:val="BodyText"/>
        <w:tabs>
          <w:tab w:val="left" w:pos="1530"/>
          <w:tab w:val="right" w:pos="10655"/>
        </w:tabs>
        <w:spacing w:before="35" w:line="158" w:lineRule="auto"/>
        <w:ind w:left="1530" w:right="-220" w:hanging="180"/>
      </w:pPr>
      <w:r>
        <w:rPr>
          <w:u w:val="single" w:color="2A2928"/>
        </w:rPr>
        <w:t xml:space="preserve"> </w:t>
      </w:r>
      <w:r>
        <w:rPr>
          <w:u w:val="single" w:color="2A2928"/>
        </w:rPr>
        <w:tab/>
      </w:r>
      <w:r>
        <w:t xml:space="preserve">и (обикновено </w:t>
      </w:r>
      <w:proofErr w:type="spellStart"/>
      <w:r>
        <w:t>неподдаваща</w:t>
      </w:r>
      <w:proofErr w:type="spellEnd"/>
      <w:r>
        <w:t xml:space="preserve"> се на наблюдение неупотреба) възвращаемост от </w:t>
      </w:r>
      <w:r w:rsidR="00294DBE">
        <w:t>Подобряване/възстановяване на биологичното разнообразие</w:t>
      </w:r>
    </w:p>
    <w:p w14:paraId="48184B5D" w14:textId="77777777" w:rsidR="00294DBE" w:rsidRDefault="00294DBE" w:rsidP="00294DBE">
      <w:pPr>
        <w:pStyle w:val="BodyText"/>
        <w:tabs>
          <w:tab w:val="left" w:pos="1530"/>
          <w:tab w:val="right" w:pos="10655"/>
        </w:tabs>
        <w:spacing w:before="35" w:line="158" w:lineRule="auto"/>
        <w:ind w:left="110"/>
      </w:pPr>
    </w:p>
    <w:p w14:paraId="43DE0E53" w14:textId="59CD68D9" w:rsidR="00205CD9" w:rsidRDefault="00735DDA" w:rsidP="00947C58">
      <w:pPr>
        <w:pStyle w:val="BodyText"/>
        <w:tabs>
          <w:tab w:val="left" w:pos="1530"/>
          <w:tab w:val="right" w:pos="10655"/>
        </w:tabs>
        <w:spacing w:before="35" w:line="158" w:lineRule="auto"/>
        <w:ind w:left="110" w:firstLine="7990"/>
        <w:rPr>
          <w:b/>
        </w:rPr>
      </w:pPr>
      <w:r>
        <w:t>OECD/LEGAL/0326</w:t>
      </w:r>
      <w:r>
        <w:tab/>
      </w:r>
      <w:r>
        <w:rPr>
          <w:b/>
          <w:bCs/>
        </w:rPr>
        <w:t>7</w:t>
      </w:r>
    </w:p>
    <w:p w14:paraId="43DE0E54" w14:textId="7228BC7F" w:rsidR="00205CD9" w:rsidRDefault="00200785">
      <w:pPr>
        <w:pStyle w:val="BodyText"/>
        <w:spacing w:line="185" w:lineRule="exact"/>
        <w:ind w:left="1530"/>
      </w:pPr>
      <w:r>
        <w:pict w14:anchorId="43DE0F07">
          <v:line id="_x0000_s1037" style="position:absolute;left:0;text-align:left;z-index:15732224;mso-position-horizontal-relative:page" from="537.5pt,1.75pt" to="554.1pt,1.75pt" strokecolor="#2a2928" strokeweight=".63pt">
            <w10:wrap anchorx="page"/>
          </v:line>
        </w:pict>
      </w:r>
    </w:p>
    <w:p w14:paraId="43DE0E55" w14:textId="77777777" w:rsidR="00205CD9" w:rsidRDefault="00205CD9">
      <w:pPr>
        <w:pStyle w:val="BodyText"/>
        <w:spacing w:before="8"/>
      </w:pPr>
    </w:p>
    <w:p w14:paraId="43DE0E56" w14:textId="77777777" w:rsidR="00205CD9" w:rsidRPr="00947C58" w:rsidRDefault="00735DDA">
      <w:pPr>
        <w:pStyle w:val="BodyText"/>
        <w:ind w:left="678" w:right="683"/>
        <w:jc w:val="both"/>
        <w:rPr>
          <w:sz w:val="18"/>
          <w:szCs w:val="18"/>
        </w:rPr>
      </w:pPr>
      <w:r w:rsidRPr="00947C58">
        <w:rPr>
          <w:sz w:val="18"/>
          <w:szCs w:val="18"/>
        </w:rPr>
        <w:t>Използването на икономически инструменти за опазване на биологичното разнообразие се основава на предположението, че социалните разходи (ползи) от използването, влошаването и възстановяването на биологичното разнообразие могат да бъдат вътрешно преобразувани в цената на дейностите, които причиняват тези загуби (печалби) в биологичното разнообразие.</w:t>
      </w:r>
    </w:p>
    <w:p w14:paraId="43DE0E57" w14:textId="77777777" w:rsidR="00205CD9" w:rsidRPr="00947C58" w:rsidRDefault="00205CD9">
      <w:pPr>
        <w:pStyle w:val="BodyText"/>
        <w:rPr>
          <w:szCs w:val="18"/>
        </w:rPr>
      </w:pPr>
    </w:p>
    <w:p w14:paraId="43DE0E58" w14:textId="77777777" w:rsidR="00205CD9" w:rsidRPr="00947C58" w:rsidRDefault="00735DDA">
      <w:pPr>
        <w:pStyle w:val="BodyText"/>
        <w:ind w:left="678" w:right="683"/>
        <w:jc w:val="both"/>
        <w:rPr>
          <w:sz w:val="18"/>
          <w:szCs w:val="18"/>
        </w:rPr>
      </w:pPr>
      <w:r w:rsidRPr="00947C58">
        <w:rPr>
          <w:sz w:val="18"/>
          <w:szCs w:val="18"/>
        </w:rPr>
        <w:t>Проблемите с управлението на биологичното разнообразие възникват по различни начини в различните екосистеми и общности. Следователно мерките за стимулиране трябва да бъдат разработени, като се имат предвид специфичните нужди на отделните екосистеми и общности. Дали се използват стимули или други мерки трябва да се основава на преценка кои от тях е вероятно да бъдат най-ефективни и ефикасни.</w:t>
      </w:r>
    </w:p>
    <w:p w14:paraId="43DE0E59" w14:textId="77777777" w:rsidR="00205CD9" w:rsidRPr="00947C58" w:rsidRDefault="00205CD9">
      <w:pPr>
        <w:pStyle w:val="BodyText"/>
        <w:spacing w:before="7"/>
        <w:rPr>
          <w:sz w:val="18"/>
          <w:szCs w:val="18"/>
        </w:rPr>
      </w:pPr>
    </w:p>
    <w:p w14:paraId="43DE0E5A" w14:textId="77777777" w:rsidR="00205CD9" w:rsidRPr="00947C58" w:rsidRDefault="00735DDA">
      <w:pPr>
        <w:pStyle w:val="BodyText"/>
        <w:spacing w:line="242" w:lineRule="auto"/>
        <w:ind w:left="678" w:right="688"/>
        <w:jc w:val="both"/>
        <w:rPr>
          <w:sz w:val="18"/>
          <w:szCs w:val="18"/>
        </w:rPr>
      </w:pPr>
      <w:r w:rsidRPr="00947C58">
        <w:rPr>
          <w:b/>
          <w:sz w:val="18"/>
          <w:szCs w:val="18"/>
        </w:rPr>
        <w:t>Елементите,</w:t>
      </w:r>
      <w:r w:rsidRPr="00947C58">
        <w:rPr>
          <w:sz w:val="18"/>
          <w:szCs w:val="18"/>
        </w:rPr>
        <w:t xml:space="preserve"> които са особено важни за успешното прилагане на базирани на стимули мерки, свързани с политиките в областта на биологичното разнообразие, включват (в рамките както на страните членки, така и в страни, </w:t>
      </w:r>
      <w:proofErr w:type="spellStart"/>
      <w:r w:rsidRPr="00947C58">
        <w:rPr>
          <w:sz w:val="18"/>
          <w:szCs w:val="18"/>
        </w:rPr>
        <w:t>нечленуващи</w:t>
      </w:r>
      <w:proofErr w:type="spellEnd"/>
      <w:r w:rsidRPr="00947C58">
        <w:rPr>
          <w:sz w:val="18"/>
          <w:szCs w:val="18"/>
        </w:rPr>
        <w:t xml:space="preserve"> в ОИСР):</w:t>
      </w:r>
    </w:p>
    <w:p w14:paraId="43DE0E5B" w14:textId="77777777" w:rsidR="00205CD9" w:rsidRPr="00947C58" w:rsidRDefault="00205CD9">
      <w:pPr>
        <w:pStyle w:val="BodyText"/>
        <w:spacing w:before="4"/>
        <w:rPr>
          <w:sz w:val="18"/>
          <w:szCs w:val="18"/>
        </w:rPr>
      </w:pPr>
    </w:p>
    <w:p w14:paraId="43DE0E5C" w14:textId="77777777" w:rsidR="00205CD9" w:rsidRPr="00947C58" w:rsidRDefault="00735DDA">
      <w:pPr>
        <w:pStyle w:val="ListParagraph"/>
        <w:numPr>
          <w:ilvl w:val="0"/>
          <w:numId w:val="6"/>
        </w:numPr>
        <w:tabs>
          <w:tab w:val="left" w:pos="1531"/>
        </w:tabs>
        <w:spacing w:before="1"/>
        <w:ind w:right="676"/>
        <w:jc w:val="both"/>
        <w:rPr>
          <w:sz w:val="18"/>
          <w:szCs w:val="20"/>
        </w:rPr>
      </w:pPr>
      <w:r w:rsidRPr="00947C58">
        <w:rPr>
          <w:i/>
          <w:sz w:val="18"/>
          <w:szCs w:val="20"/>
        </w:rPr>
        <w:t>Подходяща информация</w:t>
      </w:r>
      <w:r w:rsidRPr="00947C58">
        <w:rPr>
          <w:sz w:val="18"/>
          <w:szCs w:val="20"/>
        </w:rPr>
        <w:t xml:space="preserve"> за ресурсите, свързани с биологичното разнообразие, включително тяхното състояние; натиска, на който са изложени; и вероятността индивидуалните мерки за стимулиране да бъдат успешни, ако бъдат приложени към дадена ситуация;</w:t>
      </w:r>
    </w:p>
    <w:p w14:paraId="43DE0E5D" w14:textId="77777777" w:rsidR="00205CD9" w:rsidRPr="00947C58" w:rsidRDefault="00735DDA">
      <w:pPr>
        <w:pStyle w:val="ListParagraph"/>
        <w:numPr>
          <w:ilvl w:val="0"/>
          <w:numId w:val="6"/>
        </w:numPr>
        <w:tabs>
          <w:tab w:val="left" w:pos="1531"/>
        </w:tabs>
        <w:spacing w:before="118"/>
        <w:ind w:right="673"/>
        <w:jc w:val="both"/>
        <w:rPr>
          <w:sz w:val="18"/>
          <w:szCs w:val="20"/>
        </w:rPr>
      </w:pPr>
      <w:r w:rsidRPr="00947C58">
        <w:rPr>
          <w:i/>
          <w:sz w:val="18"/>
          <w:szCs w:val="20"/>
        </w:rPr>
        <w:t>Изграждане на капацитет</w:t>
      </w:r>
      <w:r w:rsidRPr="00947C58">
        <w:rPr>
          <w:sz w:val="18"/>
          <w:szCs w:val="20"/>
        </w:rPr>
        <w:t xml:space="preserve"> за проектиране, прилагане, мониторинг и налагане на конкретни мерки за стимулиране, и по-специално контексти за управление на биологичното разнообразие; и</w:t>
      </w:r>
    </w:p>
    <w:p w14:paraId="43DE0E5E" w14:textId="77777777" w:rsidR="00205CD9" w:rsidRPr="00947C58" w:rsidRDefault="00735DDA">
      <w:pPr>
        <w:pStyle w:val="ListParagraph"/>
        <w:numPr>
          <w:ilvl w:val="0"/>
          <w:numId w:val="6"/>
        </w:numPr>
        <w:tabs>
          <w:tab w:val="left" w:pos="1531"/>
        </w:tabs>
        <w:spacing w:before="121"/>
        <w:ind w:right="683"/>
        <w:jc w:val="both"/>
        <w:rPr>
          <w:sz w:val="18"/>
          <w:szCs w:val="20"/>
        </w:rPr>
      </w:pPr>
      <w:r w:rsidRPr="00947C58">
        <w:rPr>
          <w:sz w:val="18"/>
          <w:szCs w:val="20"/>
        </w:rPr>
        <w:t>Включване на коренни и местни общности и заинтересовани страни в разработването и прилагането на основани на стимули мерки.</w:t>
      </w:r>
    </w:p>
    <w:p w14:paraId="43DE0E5F" w14:textId="77777777" w:rsidR="00205CD9" w:rsidRPr="00947C58" w:rsidRDefault="00205CD9">
      <w:pPr>
        <w:pStyle w:val="BodyText"/>
        <w:spacing w:before="6"/>
        <w:rPr>
          <w:sz w:val="18"/>
          <w:szCs w:val="18"/>
        </w:rPr>
      </w:pPr>
    </w:p>
    <w:p w14:paraId="43DE0E60" w14:textId="77777777" w:rsidR="00205CD9" w:rsidRPr="00947C58" w:rsidRDefault="00735DDA">
      <w:pPr>
        <w:pStyle w:val="BodyText"/>
        <w:ind w:left="678" w:right="681"/>
        <w:jc w:val="both"/>
        <w:rPr>
          <w:sz w:val="18"/>
          <w:szCs w:val="18"/>
        </w:rPr>
      </w:pPr>
      <w:r w:rsidRPr="00947C58">
        <w:rPr>
          <w:b/>
          <w:sz w:val="18"/>
          <w:szCs w:val="18"/>
        </w:rPr>
        <w:t>Прилагането</w:t>
      </w:r>
      <w:r w:rsidRPr="00947C58">
        <w:rPr>
          <w:sz w:val="18"/>
          <w:szCs w:val="18"/>
        </w:rPr>
        <w:t xml:space="preserve"> на основани на стимули мерки за опазване на биологичното разнообразие и устойчиво управление включва, </w:t>
      </w:r>
      <w:r w:rsidRPr="00947C58">
        <w:rPr>
          <w:i/>
          <w:sz w:val="18"/>
          <w:szCs w:val="18"/>
        </w:rPr>
        <w:t>наред с другото,</w:t>
      </w:r>
      <w:r w:rsidRPr="00947C58">
        <w:rPr>
          <w:sz w:val="18"/>
          <w:szCs w:val="18"/>
        </w:rPr>
        <w:t xml:space="preserve"> следните ключови стъпки:</w:t>
      </w:r>
    </w:p>
    <w:p w14:paraId="43DE0E61" w14:textId="77777777" w:rsidR="00205CD9" w:rsidRPr="00947C58" w:rsidRDefault="00205CD9">
      <w:pPr>
        <w:pStyle w:val="BodyText"/>
        <w:spacing w:before="10"/>
        <w:rPr>
          <w:sz w:val="18"/>
          <w:szCs w:val="18"/>
        </w:rPr>
      </w:pPr>
    </w:p>
    <w:p w14:paraId="43DE0E62" w14:textId="77777777" w:rsidR="00205CD9" w:rsidRPr="00947C58" w:rsidRDefault="00735DDA">
      <w:pPr>
        <w:pStyle w:val="ListParagraph"/>
        <w:numPr>
          <w:ilvl w:val="0"/>
          <w:numId w:val="6"/>
        </w:numPr>
        <w:tabs>
          <w:tab w:val="left" w:pos="1531"/>
        </w:tabs>
        <w:ind w:right="677"/>
        <w:jc w:val="both"/>
        <w:rPr>
          <w:sz w:val="18"/>
          <w:szCs w:val="20"/>
        </w:rPr>
      </w:pPr>
      <w:r w:rsidRPr="00947C58">
        <w:rPr>
          <w:i/>
          <w:sz w:val="18"/>
          <w:szCs w:val="20"/>
        </w:rPr>
        <w:t xml:space="preserve">Идентифициране на основния проблем и предварителна оценка на потенциалната роля на основаните на стимули мерки: </w:t>
      </w:r>
      <w:r w:rsidRPr="00947C58">
        <w:rPr>
          <w:sz w:val="18"/>
          <w:szCs w:val="20"/>
        </w:rPr>
        <w:t>Събиране на данни; предварителна оценка на необходимостта и потенциалната полезност на стимулиращата мярка; и участието на заинтересованите страни ще допринесат на този етап;</w:t>
      </w:r>
    </w:p>
    <w:p w14:paraId="43DE0E63" w14:textId="77777777" w:rsidR="00205CD9" w:rsidRPr="00947C58" w:rsidRDefault="00735DDA">
      <w:pPr>
        <w:pStyle w:val="ListParagraph"/>
        <w:numPr>
          <w:ilvl w:val="0"/>
          <w:numId w:val="6"/>
        </w:numPr>
        <w:tabs>
          <w:tab w:val="left" w:pos="1531"/>
        </w:tabs>
        <w:spacing w:before="118"/>
        <w:ind w:right="679"/>
        <w:jc w:val="both"/>
        <w:rPr>
          <w:sz w:val="18"/>
          <w:szCs w:val="20"/>
        </w:rPr>
      </w:pPr>
      <w:r w:rsidRPr="00947C58">
        <w:rPr>
          <w:i/>
          <w:sz w:val="18"/>
          <w:szCs w:val="20"/>
        </w:rPr>
        <w:t>Проектиране на мярката за стимулиране</w:t>
      </w:r>
      <w:r w:rsidRPr="00947C58">
        <w:rPr>
          <w:sz w:val="18"/>
          <w:szCs w:val="20"/>
        </w:rPr>
        <w:t>: Оценка на потенциалните варианти въз основа на ефикасност, ефективност, справедливост в ползите и тежестите, политическа приемливост и предвидимост на вероятното въздействие на мярката;</w:t>
      </w:r>
    </w:p>
    <w:p w14:paraId="43DE0E64" w14:textId="77777777" w:rsidR="00205CD9" w:rsidRPr="00947C58" w:rsidRDefault="00735DDA">
      <w:pPr>
        <w:pStyle w:val="ListParagraph"/>
        <w:numPr>
          <w:ilvl w:val="0"/>
          <w:numId w:val="6"/>
        </w:numPr>
        <w:tabs>
          <w:tab w:val="left" w:pos="1531"/>
        </w:tabs>
        <w:spacing w:before="119"/>
        <w:ind w:right="672"/>
        <w:jc w:val="both"/>
        <w:rPr>
          <w:sz w:val="18"/>
          <w:szCs w:val="20"/>
        </w:rPr>
      </w:pPr>
      <w:r w:rsidRPr="00947C58">
        <w:rPr>
          <w:i/>
          <w:sz w:val="18"/>
          <w:szCs w:val="20"/>
        </w:rPr>
        <w:t xml:space="preserve">Изграждане на политическа подкрепа и институционален капацитет: </w:t>
      </w:r>
      <w:r w:rsidRPr="00947C58">
        <w:rPr>
          <w:sz w:val="18"/>
          <w:szCs w:val="20"/>
        </w:rPr>
        <w:t>Това ще включва изрично признаване на (съществуващия) микс от политики, в който сега ще бъде въведена стимулиращата мярка; обучение на персонала; комуникация; разглеждане на допълнителни мерки, които също могат да бъдат необходими; и развиване на подходящи връзки с участници от частния сектор; и</w:t>
      </w:r>
    </w:p>
    <w:p w14:paraId="43DE0E65" w14:textId="77777777" w:rsidR="00205CD9" w:rsidRPr="00947C58" w:rsidRDefault="00735DDA">
      <w:pPr>
        <w:pStyle w:val="ListParagraph"/>
        <w:numPr>
          <w:ilvl w:val="0"/>
          <w:numId w:val="6"/>
        </w:numPr>
        <w:tabs>
          <w:tab w:val="left" w:pos="1531"/>
        </w:tabs>
        <w:spacing w:before="118"/>
        <w:ind w:right="679"/>
        <w:jc w:val="both"/>
        <w:rPr>
          <w:sz w:val="18"/>
          <w:szCs w:val="20"/>
        </w:rPr>
      </w:pPr>
      <w:r w:rsidRPr="00947C58">
        <w:rPr>
          <w:i/>
          <w:sz w:val="18"/>
          <w:szCs w:val="20"/>
        </w:rPr>
        <w:t xml:space="preserve">Управление, мониторинг и налагане на мярката: </w:t>
      </w:r>
      <w:r w:rsidRPr="00947C58">
        <w:rPr>
          <w:sz w:val="18"/>
          <w:szCs w:val="20"/>
        </w:rPr>
        <w:t>Заделянето на достатъчно финансиране за всяка от тези стъпки ще бъде важно, както и преразглеждането на проекта на мярката с течение на времето, за да се отразят променящите се условия.</w:t>
      </w:r>
    </w:p>
    <w:p w14:paraId="43DE0E66" w14:textId="77777777" w:rsidR="00205CD9" w:rsidRPr="00947C58" w:rsidRDefault="00205CD9">
      <w:pPr>
        <w:pStyle w:val="BodyText"/>
        <w:spacing w:before="1"/>
        <w:rPr>
          <w:szCs w:val="18"/>
        </w:rPr>
      </w:pPr>
    </w:p>
    <w:p w14:paraId="43DE0E67" w14:textId="77777777" w:rsidR="00205CD9" w:rsidRPr="00947C58" w:rsidRDefault="00735DDA">
      <w:pPr>
        <w:pStyle w:val="Heading3"/>
        <w:rPr>
          <w:sz w:val="18"/>
          <w:szCs w:val="18"/>
        </w:rPr>
      </w:pPr>
      <w:r w:rsidRPr="00947C58">
        <w:rPr>
          <w:sz w:val="18"/>
          <w:szCs w:val="18"/>
        </w:rPr>
        <w:t>Основани на стимули мерки</w:t>
      </w:r>
    </w:p>
    <w:p w14:paraId="43DE0E68" w14:textId="77777777" w:rsidR="00205CD9" w:rsidRPr="00947C58" w:rsidRDefault="00205CD9">
      <w:pPr>
        <w:pStyle w:val="BodyText"/>
        <w:spacing w:before="10"/>
        <w:rPr>
          <w:b/>
          <w:i/>
          <w:sz w:val="18"/>
          <w:szCs w:val="18"/>
        </w:rPr>
      </w:pPr>
    </w:p>
    <w:p w14:paraId="43DE0E69" w14:textId="77777777" w:rsidR="00205CD9" w:rsidRPr="00947C58" w:rsidRDefault="00735DDA">
      <w:pPr>
        <w:pStyle w:val="BodyText"/>
        <w:ind w:left="678" w:right="680"/>
        <w:jc w:val="both"/>
        <w:rPr>
          <w:sz w:val="18"/>
          <w:szCs w:val="18"/>
        </w:rPr>
      </w:pPr>
      <w:r w:rsidRPr="00947C58">
        <w:rPr>
          <w:sz w:val="18"/>
          <w:szCs w:val="18"/>
        </w:rPr>
        <w:t>Обхватът от пазарни (и за пазарна подкрепа) мерки, достъпни за правителствата за насърчаване на опазването и устойчивото използване на биологичното разнообразие, включва:</w:t>
      </w:r>
    </w:p>
    <w:p w14:paraId="43DE0E6A" w14:textId="77777777" w:rsidR="00205CD9" w:rsidRPr="00947C58" w:rsidRDefault="00205CD9">
      <w:pPr>
        <w:pStyle w:val="BodyText"/>
        <w:spacing w:before="9"/>
        <w:rPr>
          <w:sz w:val="18"/>
          <w:szCs w:val="18"/>
        </w:rPr>
      </w:pPr>
    </w:p>
    <w:p w14:paraId="43DE0E6B" w14:textId="77777777" w:rsidR="00205CD9" w:rsidRPr="00947C58" w:rsidRDefault="00735DDA">
      <w:pPr>
        <w:ind w:left="1398"/>
        <w:rPr>
          <w:i/>
          <w:sz w:val="18"/>
          <w:szCs w:val="20"/>
        </w:rPr>
      </w:pPr>
      <w:r w:rsidRPr="00947C58">
        <w:rPr>
          <w:i/>
          <w:sz w:val="18"/>
          <w:szCs w:val="20"/>
        </w:rPr>
        <w:t>Икономически стимули</w:t>
      </w:r>
    </w:p>
    <w:p w14:paraId="43DE0E6C" w14:textId="77777777" w:rsidR="00205CD9" w:rsidRPr="00947C58" w:rsidRDefault="00205CD9">
      <w:pPr>
        <w:pStyle w:val="BodyText"/>
        <w:spacing w:before="1"/>
        <w:rPr>
          <w:i/>
          <w:szCs w:val="18"/>
        </w:rPr>
      </w:pPr>
    </w:p>
    <w:p w14:paraId="43DE0E6D" w14:textId="77777777" w:rsidR="00205CD9" w:rsidRPr="00947C58" w:rsidRDefault="00735DDA">
      <w:pPr>
        <w:pStyle w:val="ListParagraph"/>
        <w:numPr>
          <w:ilvl w:val="0"/>
          <w:numId w:val="5"/>
        </w:numPr>
        <w:tabs>
          <w:tab w:val="left" w:pos="2097"/>
          <w:tab w:val="left" w:pos="2098"/>
        </w:tabs>
        <w:ind w:hanging="568"/>
        <w:rPr>
          <w:sz w:val="18"/>
          <w:szCs w:val="20"/>
        </w:rPr>
      </w:pPr>
      <w:r w:rsidRPr="00947C58">
        <w:rPr>
          <w:sz w:val="18"/>
          <w:szCs w:val="20"/>
        </w:rPr>
        <w:t>Такси, комисионни и екологични данъци;</w:t>
      </w:r>
    </w:p>
    <w:p w14:paraId="43DE0E6E" w14:textId="77777777" w:rsidR="00205CD9" w:rsidRPr="00947C58" w:rsidRDefault="00735DDA">
      <w:pPr>
        <w:pStyle w:val="ListParagraph"/>
        <w:numPr>
          <w:ilvl w:val="0"/>
          <w:numId w:val="5"/>
        </w:numPr>
        <w:tabs>
          <w:tab w:val="left" w:pos="2097"/>
          <w:tab w:val="left" w:pos="2098"/>
        </w:tabs>
        <w:spacing w:before="109"/>
        <w:ind w:hanging="568"/>
        <w:rPr>
          <w:sz w:val="18"/>
          <w:szCs w:val="20"/>
        </w:rPr>
      </w:pPr>
      <w:r w:rsidRPr="00947C58">
        <w:rPr>
          <w:sz w:val="18"/>
          <w:szCs w:val="20"/>
        </w:rPr>
        <w:t>Плащания за екосистемни услуги;</w:t>
      </w:r>
    </w:p>
    <w:p w14:paraId="43DE0E6F" w14:textId="77777777" w:rsidR="00205CD9" w:rsidRPr="00947C58" w:rsidRDefault="00735DDA">
      <w:pPr>
        <w:pStyle w:val="ListParagraph"/>
        <w:numPr>
          <w:ilvl w:val="0"/>
          <w:numId w:val="5"/>
        </w:numPr>
        <w:tabs>
          <w:tab w:val="left" w:pos="2097"/>
          <w:tab w:val="left" w:pos="2098"/>
        </w:tabs>
        <w:spacing w:before="109"/>
        <w:ind w:hanging="568"/>
        <w:rPr>
          <w:sz w:val="18"/>
          <w:szCs w:val="20"/>
        </w:rPr>
      </w:pPr>
      <w:r w:rsidRPr="00947C58">
        <w:rPr>
          <w:sz w:val="18"/>
          <w:szCs w:val="20"/>
        </w:rPr>
        <w:t>Прехвърляне на добре дефинирани права на собственост;</w:t>
      </w:r>
    </w:p>
    <w:p w14:paraId="43DE0E70" w14:textId="77777777" w:rsidR="00205CD9" w:rsidRPr="00947C58" w:rsidRDefault="00735DDA">
      <w:pPr>
        <w:pStyle w:val="ListParagraph"/>
        <w:numPr>
          <w:ilvl w:val="0"/>
          <w:numId w:val="5"/>
        </w:numPr>
        <w:tabs>
          <w:tab w:val="left" w:pos="2097"/>
          <w:tab w:val="left" w:pos="2098"/>
        </w:tabs>
        <w:spacing w:before="108"/>
        <w:ind w:hanging="568"/>
        <w:rPr>
          <w:sz w:val="18"/>
          <w:szCs w:val="20"/>
        </w:rPr>
      </w:pPr>
      <w:r w:rsidRPr="00947C58">
        <w:rPr>
          <w:sz w:val="18"/>
          <w:szCs w:val="20"/>
        </w:rPr>
        <w:t>Реформа или премахване на вредните субсидии.</w:t>
      </w:r>
    </w:p>
    <w:p w14:paraId="43DE0E71" w14:textId="77777777" w:rsidR="00205CD9" w:rsidRPr="00947C58" w:rsidRDefault="00205CD9">
      <w:pPr>
        <w:pStyle w:val="BodyText"/>
        <w:spacing w:before="8"/>
        <w:rPr>
          <w:sz w:val="18"/>
          <w:szCs w:val="18"/>
        </w:rPr>
      </w:pPr>
    </w:p>
    <w:p w14:paraId="43DE0E72" w14:textId="77777777" w:rsidR="00205CD9" w:rsidRPr="00947C58" w:rsidRDefault="00735DDA">
      <w:pPr>
        <w:ind w:left="1398"/>
        <w:rPr>
          <w:i/>
          <w:sz w:val="18"/>
          <w:szCs w:val="20"/>
        </w:rPr>
      </w:pPr>
      <w:r w:rsidRPr="00947C58">
        <w:rPr>
          <w:i/>
          <w:sz w:val="18"/>
          <w:szCs w:val="20"/>
        </w:rPr>
        <w:t>Финансови средства</w:t>
      </w:r>
    </w:p>
    <w:p w14:paraId="43DE0E73" w14:textId="77777777" w:rsidR="00205CD9" w:rsidRPr="00947C58" w:rsidRDefault="00205CD9">
      <w:pPr>
        <w:pStyle w:val="BodyText"/>
        <w:spacing w:before="10"/>
        <w:rPr>
          <w:i/>
          <w:sz w:val="18"/>
          <w:szCs w:val="18"/>
        </w:rPr>
      </w:pPr>
    </w:p>
    <w:p w14:paraId="43DE0E74" w14:textId="77777777" w:rsidR="00205CD9" w:rsidRPr="00947C58" w:rsidRDefault="00735DDA">
      <w:pPr>
        <w:pStyle w:val="ListParagraph"/>
        <w:numPr>
          <w:ilvl w:val="0"/>
          <w:numId w:val="5"/>
        </w:numPr>
        <w:tabs>
          <w:tab w:val="left" w:pos="2097"/>
          <w:tab w:val="left" w:pos="2098"/>
        </w:tabs>
        <w:ind w:hanging="568"/>
        <w:rPr>
          <w:sz w:val="18"/>
          <w:szCs w:val="20"/>
        </w:rPr>
      </w:pPr>
      <w:r w:rsidRPr="00947C58">
        <w:rPr>
          <w:sz w:val="18"/>
          <w:szCs w:val="20"/>
        </w:rPr>
        <w:t>Екологични фондове и публично финансиране.</w:t>
      </w:r>
    </w:p>
    <w:p w14:paraId="43DE0E75" w14:textId="77777777" w:rsidR="00205CD9" w:rsidRPr="00947C58" w:rsidRDefault="00205CD9">
      <w:pPr>
        <w:pStyle w:val="BodyText"/>
        <w:spacing w:before="9"/>
        <w:rPr>
          <w:sz w:val="18"/>
          <w:szCs w:val="18"/>
        </w:rPr>
      </w:pPr>
    </w:p>
    <w:p w14:paraId="43DE0E76" w14:textId="77777777" w:rsidR="00205CD9" w:rsidRPr="00947C58" w:rsidRDefault="00735DDA">
      <w:pPr>
        <w:ind w:left="1398"/>
        <w:rPr>
          <w:i/>
          <w:sz w:val="18"/>
          <w:szCs w:val="20"/>
        </w:rPr>
      </w:pPr>
      <w:r w:rsidRPr="00947C58">
        <w:rPr>
          <w:i/>
          <w:sz w:val="18"/>
          <w:szCs w:val="20"/>
        </w:rPr>
        <w:t>Рамкови стимули</w:t>
      </w:r>
    </w:p>
    <w:p w14:paraId="43DE0E77" w14:textId="77777777" w:rsidR="00205CD9" w:rsidRDefault="00205CD9">
      <w:pPr>
        <w:rPr>
          <w:sz w:val="20"/>
        </w:rPr>
        <w:sectPr w:rsidR="00205CD9">
          <w:pgSz w:w="12240" w:h="15840"/>
          <w:pgMar w:top="480" w:right="740" w:bottom="280" w:left="740" w:header="720" w:footer="720" w:gutter="0"/>
          <w:cols w:space="720"/>
        </w:sectPr>
      </w:pPr>
    </w:p>
    <w:p w14:paraId="43DE0E78" w14:textId="77777777" w:rsidR="00205CD9" w:rsidRDefault="00735DDA">
      <w:pPr>
        <w:pStyle w:val="ListParagraph"/>
        <w:numPr>
          <w:ilvl w:val="0"/>
          <w:numId w:val="5"/>
        </w:numPr>
        <w:tabs>
          <w:tab w:val="left" w:pos="2097"/>
          <w:tab w:val="left" w:pos="2098"/>
        </w:tabs>
        <w:spacing w:before="65"/>
        <w:ind w:hanging="568"/>
        <w:rPr>
          <w:sz w:val="20"/>
        </w:rPr>
      </w:pPr>
      <w:r>
        <w:rPr>
          <w:sz w:val="20"/>
        </w:rPr>
        <w:lastRenderedPageBreak/>
        <w:t>Информационно осигуряване, изграждане на научен и технически капацитет;</w:t>
      </w:r>
    </w:p>
    <w:p w14:paraId="61774679" w14:textId="09CBFDD4" w:rsidR="00D06898" w:rsidRDefault="00200785">
      <w:pPr>
        <w:pStyle w:val="BodyText"/>
        <w:tabs>
          <w:tab w:val="left" w:pos="677"/>
        </w:tabs>
        <w:spacing w:before="32"/>
        <w:ind w:left="110"/>
      </w:pPr>
      <w:r>
        <w:pict w14:anchorId="43DE0F08">
          <v:line id="_x0000_s1036" style="position:absolute;left:0;text-align:left;z-index:-15949312;mso-position-horizontal-relative:page" from="158pt,15.55pt" to="554.1pt,15.55pt" strokecolor="#2a2928" strokeweight=".63pt">
            <w10:wrap anchorx="page"/>
          </v:line>
        </w:pict>
      </w:r>
      <w:r w:rsidR="00735DDA">
        <w:rPr>
          <w:b/>
          <w:color w:val="2B2A29"/>
          <w:u w:val="single" w:color="2A2928"/>
        </w:rPr>
        <w:t>8</w:t>
      </w:r>
      <w:r w:rsidR="00735DDA">
        <w:rPr>
          <w:color w:val="2B2A29"/>
          <w:u w:val="single" w:color="2A2928"/>
        </w:rPr>
        <w:t xml:space="preserve"> О</w:t>
      </w:r>
      <w:r w:rsidR="00735DDA">
        <w:rPr>
          <w:color w:val="2B2A29"/>
        </w:rPr>
        <w:t>E</w:t>
      </w:r>
      <w:r w:rsidR="00735DDA">
        <w:rPr>
          <w:color w:val="2B2A29"/>
          <w:u w:val="single" w:color="2A2928"/>
        </w:rPr>
        <w:t>CD</w:t>
      </w:r>
      <w:r w:rsidR="00735DDA">
        <w:rPr>
          <w:color w:val="2B2A29"/>
        </w:rPr>
        <w:t>/ LEGAL/ 0326</w:t>
      </w:r>
      <w:r w:rsidR="00735DDA">
        <w:t xml:space="preserve"> </w:t>
      </w:r>
    </w:p>
    <w:p w14:paraId="43DE0E79" w14:textId="1550D699" w:rsidR="00205CD9" w:rsidRPr="00A226B3" w:rsidRDefault="00735DDA" w:rsidP="00616FB3">
      <w:pPr>
        <w:pStyle w:val="BodyText"/>
        <w:numPr>
          <w:ilvl w:val="0"/>
          <w:numId w:val="9"/>
        </w:numPr>
        <w:tabs>
          <w:tab w:val="left" w:pos="677"/>
        </w:tabs>
        <w:spacing w:before="32"/>
        <w:ind w:firstLine="810"/>
        <w:rPr>
          <w:sz w:val="18"/>
          <w:szCs w:val="18"/>
        </w:rPr>
      </w:pPr>
      <w:r w:rsidRPr="00A226B3">
        <w:rPr>
          <w:sz w:val="18"/>
          <w:szCs w:val="18"/>
        </w:rPr>
        <w:t>Икономическа оценка;</w:t>
      </w:r>
    </w:p>
    <w:p w14:paraId="43DE0E7A" w14:textId="77777777" w:rsidR="00205CD9" w:rsidRPr="00A226B3" w:rsidRDefault="00735DDA">
      <w:pPr>
        <w:pStyle w:val="ListParagraph"/>
        <w:numPr>
          <w:ilvl w:val="0"/>
          <w:numId w:val="1"/>
        </w:numPr>
        <w:tabs>
          <w:tab w:val="left" w:pos="2097"/>
          <w:tab w:val="left" w:pos="2098"/>
        </w:tabs>
        <w:spacing w:before="108"/>
        <w:ind w:hanging="568"/>
        <w:rPr>
          <w:sz w:val="18"/>
          <w:szCs w:val="20"/>
        </w:rPr>
      </w:pPr>
      <w:r w:rsidRPr="00A226B3">
        <w:rPr>
          <w:sz w:val="18"/>
          <w:szCs w:val="20"/>
        </w:rPr>
        <w:t>Създаване на пазар;</w:t>
      </w:r>
    </w:p>
    <w:p w14:paraId="43DE0E7B" w14:textId="77777777" w:rsidR="00205CD9" w:rsidRPr="00A226B3" w:rsidRDefault="00735DDA">
      <w:pPr>
        <w:pStyle w:val="ListParagraph"/>
        <w:numPr>
          <w:ilvl w:val="0"/>
          <w:numId w:val="1"/>
        </w:numPr>
        <w:tabs>
          <w:tab w:val="left" w:pos="2097"/>
          <w:tab w:val="left" w:pos="2098"/>
        </w:tabs>
        <w:spacing w:before="109"/>
        <w:ind w:hanging="568"/>
        <w:rPr>
          <w:sz w:val="18"/>
          <w:szCs w:val="20"/>
        </w:rPr>
      </w:pPr>
      <w:r w:rsidRPr="00A226B3">
        <w:rPr>
          <w:sz w:val="18"/>
          <w:szCs w:val="20"/>
        </w:rPr>
        <w:t>Институционално изграждане и участие на заинтересованите страни.</w:t>
      </w:r>
    </w:p>
    <w:p w14:paraId="43DE0E7C" w14:textId="77777777" w:rsidR="00205CD9" w:rsidRPr="00A226B3" w:rsidRDefault="00205CD9">
      <w:pPr>
        <w:pStyle w:val="BodyText"/>
        <w:spacing w:before="9"/>
        <w:rPr>
          <w:sz w:val="18"/>
          <w:szCs w:val="18"/>
        </w:rPr>
      </w:pPr>
    </w:p>
    <w:p w14:paraId="43DE0E7D" w14:textId="77777777" w:rsidR="00205CD9" w:rsidRPr="00A226B3" w:rsidRDefault="00735DDA">
      <w:pPr>
        <w:ind w:left="678"/>
        <w:rPr>
          <w:sz w:val="18"/>
          <w:szCs w:val="20"/>
        </w:rPr>
      </w:pPr>
      <w:r w:rsidRPr="00A226B3">
        <w:rPr>
          <w:sz w:val="18"/>
          <w:szCs w:val="20"/>
        </w:rPr>
        <w:t xml:space="preserve">Примерите за пазарни мерки включват, </w:t>
      </w:r>
      <w:proofErr w:type="spellStart"/>
      <w:r w:rsidRPr="00A226B3">
        <w:rPr>
          <w:i/>
          <w:sz w:val="18"/>
          <w:szCs w:val="20"/>
        </w:rPr>
        <w:t>inter</w:t>
      </w:r>
      <w:proofErr w:type="spellEnd"/>
      <w:r w:rsidRPr="00A226B3">
        <w:rPr>
          <w:i/>
          <w:sz w:val="18"/>
          <w:szCs w:val="20"/>
        </w:rPr>
        <w:t xml:space="preserve"> </w:t>
      </w:r>
      <w:proofErr w:type="spellStart"/>
      <w:r w:rsidRPr="00A226B3">
        <w:rPr>
          <w:i/>
          <w:sz w:val="18"/>
          <w:szCs w:val="20"/>
        </w:rPr>
        <w:t>alia</w:t>
      </w:r>
      <w:proofErr w:type="spellEnd"/>
      <w:r w:rsidRPr="00A226B3">
        <w:rPr>
          <w:sz w:val="18"/>
          <w:szCs w:val="20"/>
        </w:rPr>
        <w:t>:</w:t>
      </w:r>
    </w:p>
    <w:p w14:paraId="43DE0E7E" w14:textId="77777777" w:rsidR="00205CD9" w:rsidRPr="00A226B3" w:rsidRDefault="00205CD9">
      <w:pPr>
        <w:pStyle w:val="BodyText"/>
        <w:spacing w:before="11"/>
        <w:rPr>
          <w:sz w:val="18"/>
          <w:szCs w:val="18"/>
        </w:rPr>
      </w:pPr>
    </w:p>
    <w:p w14:paraId="43DE0E7F" w14:textId="77777777" w:rsidR="00205CD9" w:rsidRPr="00A226B3" w:rsidRDefault="00735DDA">
      <w:pPr>
        <w:pStyle w:val="ListParagraph"/>
        <w:numPr>
          <w:ilvl w:val="0"/>
          <w:numId w:val="4"/>
        </w:numPr>
        <w:tabs>
          <w:tab w:val="left" w:pos="1530"/>
          <w:tab w:val="left" w:pos="1531"/>
        </w:tabs>
        <w:rPr>
          <w:sz w:val="18"/>
          <w:szCs w:val="20"/>
        </w:rPr>
      </w:pPr>
      <w:r w:rsidRPr="00A226B3">
        <w:rPr>
          <w:sz w:val="18"/>
          <w:szCs w:val="20"/>
        </w:rPr>
        <w:t>Разходи или такси за несъответствие, свързани с определени видове горски дейности;</w:t>
      </w:r>
    </w:p>
    <w:p w14:paraId="43DE0E80" w14:textId="77777777" w:rsidR="00205CD9" w:rsidRPr="00A226B3" w:rsidRDefault="00735DDA">
      <w:pPr>
        <w:pStyle w:val="ListParagraph"/>
        <w:numPr>
          <w:ilvl w:val="0"/>
          <w:numId w:val="4"/>
        </w:numPr>
        <w:tabs>
          <w:tab w:val="left" w:pos="1530"/>
          <w:tab w:val="left" w:pos="1531"/>
        </w:tabs>
        <w:spacing w:before="120"/>
        <w:rPr>
          <w:sz w:val="18"/>
          <w:szCs w:val="20"/>
        </w:rPr>
      </w:pPr>
      <w:r w:rsidRPr="00A226B3">
        <w:rPr>
          <w:sz w:val="18"/>
          <w:szCs w:val="20"/>
        </w:rPr>
        <w:t>Такси за отговорност за поддържане или рехабилитация на екологично чувствителни земи;</w:t>
      </w:r>
    </w:p>
    <w:p w14:paraId="43DE0E81" w14:textId="77777777" w:rsidR="00205CD9" w:rsidRPr="00A226B3" w:rsidRDefault="00735DDA">
      <w:pPr>
        <w:pStyle w:val="ListParagraph"/>
        <w:numPr>
          <w:ilvl w:val="0"/>
          <w:numId w:val="4"/>
        </w:numPr>
        <w:tabs>
          <w:tab w:val="left" w:pos="1530"/>
          <w:tab w:val="left" w:pos="1531"/>
        </w:tabs>
        <w:spacing w:before="117"/>
        <w:rPr>
          <w:sz w:val="18"/>
          <w:szCs w:val="20"/>
        </w:rPr>
      </w:pPr>
      <w:r w:rsidRPr="00A226B3">
        <w:rPr>
          <w:sz w:val="18"/>
          <w:szCs w:val="20"/>
        </w:rPr>
        <w:t>Разходи или такси за лиценз за риболов (чиято цел е управление на ресурсите);</w:t>
      </w:r>
    </w:p>
    <w:p w14:paraId="43DE0E82" w14:textId="77777777" w:rsidR="00205CD9" w:rsidRPr="00A226B3" w:rsidRDefault="00735DDA">
      <w:pPr>
        <w:pStyle w:val="ListParagraph"/>
        <w:numPr>
          <w:ilvl w:val="0"/>
          <w:numId w:val="4"/>
        </w:numPr>
        <w:tabs>
          <w:tab w:val="left" w:pos="1530"/>
          <w:tab w:val="left" w:pos="1531"/>
        </w:tabs>
        <w:spacing w:before="118"/>
        <w:rPr>
          <w:sz w:val="18"/>
          <w:szCs w:val="20"/>
        </w:rPr>
      </w:pPr>
      <w:r w:rsidRPr="00A226B3">
        <w:rPr>
          <w:sz w:val="18"/>
          <w:szCs w:val="20"/>
        </w:rPr>
        <w:t>Налози за черпене на повърхностни или подземни води;</w:t>
      </w:r>
    </w:p>
    <w:p w14:paraId="43DE0E83" w14:textId="77777777" w:rsidR="00205CD9" w:rsidRPr="00A226B3" w:rsidRDefault="00735DDA">
      <w:pPr>
        <w:pStyle w:val="ListParagraph"/>
        <w:numPr>
          <w:ilvl w:val="0"/>
          <w:numId w:val="4"/>
        </w:numPr>
        <w:tabs>
          <w:tab w:val="left" w:pos="1530"/>
          <w:tab w:val="left" w:pos="1531"/>
        </w:tabs>
        <w:spacing w:before="119"/>
        <w:rPr>
          <w:sz w:val="18"/>
          <w:szCs w:val="20"/>
        </w:rPr>
      </w:pPr>
      <w:r w:rsidRPr="00A226B3">
        <w:rPr>
          <w:sz w:val="18"/>
          <w:szCs w:val="20"/>
        </w:rPr>
        <w:t>Подкрепа за схеми за етикетиране, свързани с биологичното разнообразие;</w:t>
      </w:r>
    </w:p>
    <w:p w14:paraId="43DE0E84" w14:textId="77777777" w:rsidR="00205CD9" w:rsidRPr="00A226B3" w:rsidRDefault="00735DDA">
      <w:pPr>
        <w:pStyle w:val="ListParagraph"/>
        <w:numPr>
          <w:ilvl w:val="0"/>
          <w:numId w:val="4"/>
        </w:numPr>
        <w:tabs>
          <w:tab w:val="left" w:pos="1530"/>
          <w:tab w:val="left" w:pos="1531"/>
        </w:tabs>
        <w:spacing w:before="118"/>
        <w:rPr>
          <w:sz w:val="18"/>
          <w:szCs w:val="20"/>
        </w:rPr>
      </w:pPr>
      <w:r w:rsidRPr="00A226B3">
        <w:rPr>
          <w:sz w:val="18"/>
          <w:szCs w:val="20"/>
        </w:rPr>
        <w:t>Плащания за отговорност за щети в биологичното разнообразие (включително междинни загуби);</w:t>
      </w:r>
    </w:p>
    <w:p w14:paraId="43DE0E85" w14:textId="77777777" w:rsidR="00205CD9" w:rsidRPr="00A226B3" w:rsidRDefault="00735DDA">
      <w:pPr>
        <w:pStyle w:val="ListParagraph"/>
        <w:numPr>
          <w:ilvl w:val="0"/>
          <w:numId w:val="4"/>
        </w:numPr>
        <w:tabs>
          <w:tab w:val="left" w:pos="1530"/>
          <w:tab w:val="left" w:pos="1531"/>
        </w:tabs>
        <w:spacing w:before="120"/>
        <w:rPr>
          <w:sz w:val="18"/>
          <w:szCs w:val="20"/>
        </w:rPr>
      </w:pPr>
      <w:r w:rsidRPr="00A226B3">
        <w:rPr>
          <w:sz w:val="18"/>
          <w:szCs w:val="20"/>
        </w:rPr>
        <w:t>Такси за:</w:t>
      </w:r>
    </w:p>
    <w:p w14:paraId="43DE0E86" w14:textId="77777777" w:rsidR="00205CD9" w:rsidRPr="00A226B3" w:rsidRDefault="00735DDA">
      <w:pPr>
        <w:pStyle w:val="ListParagraph"/>
        <w:numPr>
          <w:ilvl w:val="1"/>
          <w:numId w:val="4"/>
        </w:numPr>
        <w:tabs>
          <w:tab w:val="left" w:pos="2097"/>
          <w:tab w:val="left" w:pos="2098"/>
        </w:tabs>
        <w:spacing w:before="119"/>
        <w:ind w:hanging="568"/>
        <w:rPr>
          <w:sz w:val="18"/>
          <w:szCs w:val="20"/>
        </w:rPr>
      </w:pPr>
      <w:r w:rsidRPr="00A226B3">
        <w:rPr>
          <w:sz w:val="18"/>
          <w:szCs w:val="20"/>
        </w:rPr>
        <w:t>Използване на обществени земи за паша в селското стопанство;</w:t>
      </w:r>
    </w:p>
    <w:p w14:paraId="43DE0E87" w14:textId="77777777" w:rsidR="00205CD9" w:rsidRPr="00A226B3" w:rsidRDefault="00735DDA">
      <w:pPr>
        <w:pStyle w:val="ListParagraph"/>
        <w:numPr>
          <w:ilvl w:val="1"/>
          <w:numId w:val="4"/>
        </w:numPr>
        <w:tabs>
          <w:tab w:val="left" w:pos="2097"/>
          <w:tab w:val="left" w:pos="2098"/>
        </w:tabs>
        <w:spacing w:before="108"/>
        <w:ind w:hanging="568"/>
        <w:rPr>
          <w:sz w:val="18"/>
          <w:szCs w:val="20"/>
        </w:rPr>
      </w:pPr>
      <w:r w:rsidRPr="00A226B3">
        <w:rPr>
          <w:sz w:val="18"/>
          <w:szCs w:val="20"/>
        </w:rPr>
        <w:t>Използване на чувствителни земи;</w:t>
      </w:r>
    </w:p>
    <w:p w14:paraId="43DE0E88" w14:textId="77777777" w:rsidR="00205CD9" w:rsidRPr="00A226B3" w:rsidRDefault="00735DDA">
      <w:pPr>
        <w:pStyle w:val="ListParagraph"/>
        <w:numPr>
          <w:ilvl w:val="1"/>
          <w:numId w:val="4"/>
        </w:numPr>
        <w:tabs>
          <w:tab w:val="left" w:pos="2097"/>
          <w:tab w:val="left" w:pos="2098"/>
        </w:tabs>
        <w:spacing w:before="109"/>
        <w:ind w:hanging="568"/>
        <w:rPr>
          <w:sz w:val="18"/>
          <w:szCs w:val="20"/>
        </w:rPr>
      </w:pPr>
      <w:r w:rsidRPr="00A226B3">
        <w:rPr>
          <w:sz w:val="18"/>
          <w:szCs w:val="20"/>
        </w:rPr>
        <w:t>Лов или риболов на застрашени видове; и</w:t>
      </w:r>
    </w:p>
    <w:p w14:paraId="43DE0E89" w14:textId="77777777" w:rsidR="00205CD9" w:rsidRPr="00A226B3" w:rsidRDefault="00735DDA">
      <w:pPr>
        <w:pStyle w:val="ListParagraph"/>
        <w:numPr>
          <w:ilvl w:val="1"/>
          <w:numId w:val="4"/>
        </w:numPr>
        <w:tabs>
          <w:tab w:val="left" w:pos="2097"/>
          <w:tab w:val="left" w:pos="2098"/>
        </w:tabs>
        <w:spacing w:before="109"/>
        <w:ind w:hanging="568"/>
        <w:rPr>
          <w:sz w:val="18"/>
          <w:szCs w:val="20"/>
        </w:rPr>
      </w:pPr>
      <w:r w:rsidRPr="00A226B3">
        <w:rPr>
          <w:sz w:val="18"/>
          <w:szCs w:val="20"/>
        </w:rPr>
        <w:t>Туризъм в природните паркове.</w:t>
      </w:r>
    </w:p>
    <w:p w14:paraId="43DE0E8A" w14:textId="77777777" w:rsidR="00205CD9" w:rsidRPr="00A226B3" w:rsidRDefault="00735DDA">
      <w:pPr>
        <w:pStyle w:val="ListParagraph"/>
        <w:numPr>
          <w:ilvl w:val="0"/>
          <w:numId w:val="4"/>
        </w:numPr>
        <w:tabs>
          <w:tab w:val="left" w:pos="1530"/>
          <w:tab w:val="left" w:pos="1531"/>
        </w:tabs>
        <w:spacing w:before="107"/>
        <w:ind w:right="677"/>
        <w:rPr>
          <w:sz w:val="18"/>
          <w:szCs w:val="20"/>
        </w:rPr>
      </w:pPr>
      <w:r w:rsidRPr="00A226B3">
        <w:rPr>
          <w:sz w:val="18"/>
          <w:szCs w:val="20"/>
        </w:rPr>
        <w:t>Плащания на фермери в рамките на водосборен басейн за използване на земеделски техники, които поддържат качеството на водните ресурси.</w:t>
      </w:r>
    </w:p>
    <w:p w14:paraId="43DE0E8B" w14:textId="77777777" w:rsidR="00205CD9" w:rsidRPr="00A226B3" w:rsidRDefault="00205CD9">
      <w:pPr>
        <w:pStyle w:val="BodyText"/>
        <w:spacing w:before="9"/>
        <w:rPr>
          <w:sz w:val="18"/>
          <w:szCs w:val="18"/>
        </w:rPr>
      </w:pPr>
    </w:p>
    <w:p w14:paraId="43DE0E8C" w14:textId="77777777" w:rsidR="00205CD9" w:rsidRPr="00A226B3" w:rsidRDefault="00735DDA">
      <w:pPr>
        <w:pStyle w:val="Heading3"/>
        <w:jc w:val="left"/>
        <w:rPr>
          <w:sz w:val="18"/>
          <w:szCs w:val="18"/>
        </w:rPr>
      </w:pPr>
      <w:r w:rsidRPr="00A226B3">
        <w:rPr>
          <w:sz w:val="18"/>
          <w:szCs w:val="18"/>
        </w:rPr>
        <w:t>Комбинации от инструменти</w:t>
      </w:r>
    </w:p>
    <w:p w14:paraId="43DE0E8D" w14:textId="77777777" w:rsidR="00205CD9" w:rsidRPr="00A226B3" w:rsidRDefault="00205CD9">
      <w:pPr>
        <w:pStyle w:val="BodyText"/>
        <w:spacing w:before="11"/>
        <w:rPr>
          <w:b/>
          <w:i/>
          <w:sz w:val="18"/>
          <w:szCs w:val="18"/>
        </w:rPr>
      </w:pPr>
    </w:p>
    <w:p w14:paraId="43DE0E8E" w14:textId="77777777" w:rsidR="00205CD9" w:rsidRPr="00A226B3" w:rsidRDefault="00735DDA">
      <w:pPr>
        <w:pStyle w:val="BodyText"/>
        <w:ind w:left="678" w:right="675"/>
        <w:jc w:val="both"/>
        <w:rPr>
          <w:sz w:val="18"/>
          <w:szCs w:val="18"/>
        </w:rPr>
      </w:pPr>
      <w:r w:rsidRPr="00A226B3">
        <w:rPr>
          <w:sz w:val="18"/>
          <w:szCs w:val="18"/>
        </w:rPr>
        <w:t>За постигане на целите на политиката, свързани с биологичното разнообразие, икономическите инструменти често ще трябва да се използват заедно с непазарни инструменти (стандарти, регулации, ограничения за достъп, планове за управление и т.н.). Както пазарните, така и непазарните компоненти на тези „миксове“ от политически мерки следва да бъдат проектирани и приложени, за да се допълват взаимно.</w:t>
      </w:r>
    </w:p>
    <w:p w14:paraId="43DE0E8F" w14:textId="77777777" w:rsidR="00205CD9" w:rsidRPr="00A226B3" w:rsidRDefault="00205CD9">
      <w:pPr>
        <w:pStyle w:val="BodyText"/>
        <w:rPr>
          <w:szCs w:val="18"/>
        </w:rPr>
      </w:pPr>
    </w:p>
    <w:p w14:paraId="43DE0E90" w14:textId="77777777" w:rsidR="00205CD9" w:rsidRPr="00A226B3" w:rsidRDefault="00735DDA">
      <w:pPr>
        <w:pStyle w:val="Heading3"/>
        <w:rPr>
          <w:sz w:val="18"/>
          <w:szCs w:val="18"/>
        </w:rPr>
      </w:pPr>
      <w:r w:rsidRPr="00A226B3">
        <w:rPr>
          <w:sz w:val="18"/>
          <w:szCs w:val="18"/>
        </w:rPr>
        <w:t>Реформа или премахване на изкривени стимули</w:t>
      </w:r>
    </w:p>
    <w:p w14:paraId="43DE0E91" w14:textId="77777777" w:rsidR="00205CD9" w:rsidRPr="00A226B3" w:rsidRDefault="00205CD9">
      <w:pPr>
        <w:pStyle w:val="BodyText"/>
        <w:spacing w:before="6"/>
        <w:rPr>
          <w:b/>
          <w:i/>
          <w:sz w:val="18"/>
          <w:szCs w:val="18"/>
        </w:rPr>
      </w:pPr>
    </w:p>
    <w:p w14:paraId="43DE0E92" w14:textId="77777777" w:rsidR="00205CD9" w:rsidRPr="00A226B3" w:rsidRDefault="00735DDA">
      <w:pPr>
        <w:pStyle w:val="BodyText"/>
        <w:ind w:left="678" w:right="675"/>
        <w:jc w:val="both"/>
        <w:rPr>
          <w:sz w:val="18"/>
          <w:szCs w:val="18"/>
        </w:rPr>
      </w:pPr>
      <w:r w:rsidRPr="00A226B3">
        <w:rPr>
          <w:sz w:val="18"/>
          <w:szCs w:val="18"/>
        </w:rPr>
        <w:t xml:space="preserve">Правителствената икономическа подкрепа може да има няколко форми, включително, </w:t>
      </w:r>
      <w:proofErr w:type="spellStart"/>
      <w:r w:rsidRPr="00A226B3">
        <w:rPr>
          <w:i/>
          <w:sz w:val="18"/>
          <w:szCs w:val="18"/>
        </w:rPr>
        <w:t>inter</w:t>
      </w:r>
      <w:proofErr w:type="spellEnd"/>
      <w:r w:rsidRPr="00A226B3">
        <w:rPr>
          <w:i/>
          <w:sz w:val="18"/>
          <w:szCs w:val="18"/>
        </w:rPr>
        <w:t xml:space="preserve"> </w:t>
      </w:r>
      <w:proofErr w:type="spellStart"/>
      <w:r w:rsidRPr="00A226B3">
        <w:rPr>
          <w:i/>
          <w:sz w:val="18"/>
          <w:szCs w:val="18"/>
        </w:rPr>
        <w:t>alia</w:t>
      </w:r>
      <w:proofErr w:type="spellEnd"/>
      <w:r w:rsidRPr="00A226B3">
        <w:rPr>
          <w:sz w:val="18"/>
          <w:szCs w:val="18"/>
        </w:rPr>
        <w:t>: директни плащания; данъчни облекчения или намаления; финансови стимули за предпочитани суровини или оборудване; подкрепа на пазарните цени; кредитни гаранции; техническа помощ; или безплатно използване на инфраструктурата. Когато са насочени към общи икономически/социални цели, тези инструменти понякога могат да доведат до вредно въздействие върху биологичното разнообразие и свързаните с него ресурси, дори ако първоначалното им намерение няма нищо общо с него.</w:t>
      </w:r>
    </w:p>
    <w:p w14:paraId="43DE0E93" w14:textId="77777777" w:rsidR="00205CD9" w:rsidRPr="00A226B3" w:rsidRDefault="00205CD9">
      <w:pPr>
        <w:pStyle w:val="BodyText"/>
        <w:spacing w:before="1"/>
        <w:rPr>
          <w:szCs w:val="18"/>
        </w:rPr>
      </w:pPr>
    </w:p>
    <w:p w14:paraId="43DE0E94" w14:textId="77777777" w:rsidR="00205CD9" w:rsidRPr="00A226B3" w:rsidRDefault="00735DDA">
      <w:pPr>
        <w:pStyle w:val="BodyText"/>
        <w:ind w:left="678" w:right="676"/>
        <w:jc w:val="both"/>
        <w:rPr>
          <w:sz w:val="18"/>
          <w:szCs w:val="18"/>
        </w:rPr>
      </w:pPr>
      <w:r w:rsidRPr="00A226B3">
        <w:rPr>
          <w:sz w:val="18"/>
          <w:szCs w:val="18"/>
        </w:rPr>
        <w:t xml:space="preserve">Реформата на тези политики — с цел премахване на вредните им последици — трябва да бъде постоянна цел. Когато реформата доведе до намаляване на тази подкрепа, тя не само ще донесе ползи чрез намаляване на загубата на биологично разнообразие, но също така ще подобри фискалната позиция на правителствата (ако приемем, че първоначално подкрепата е била предоставена от държавните бюджети). Освен това всички нови политики за икономическа подкрепа следва да бъдат подложени </w:t>
      </w:r>
      <w:r w:rsidRPr="00A226B3">
        <w:rPr>
          <w:i/>
          <w:sz w:val="18"/>
          <w:szCs w:val="18"/>
        </w:rPr>
        <w:t>предварително</w:t>
      </w:r>
      <w:r w:rsidRPr="00A226B3">
        <w:rPr>
          <w:sz w:val="18"/>
          <w:szCs w:val="18"/>
        </w:rPr>
        <w:t xml:space="preserve"> на преглед на техния вероятен принос за благосъстоянието на обществото (включително потенциалното им вредно въздействие върху биологичното разнообразие). Те също трябва да бъдат подложени на </w:t>
      </w:r>
      <w:r w:rsidRPr="00A226B3">
        <w:rPr>
          <w:i/>
          <w:sz w:val="18"/>
          <w:szCs w:val="18"/>
        </w:rPr>
        <w:t>последващ</w:t>
      </w:r>
      <w:r w:rsidRPr="00A226B3">
        <w:rPr>
          <w:sz w:val="18"/>
          <w:szCs w:val="18"/>
        </w:rPr>
        <w:t xml:space="preserve"> преглед, за да се гарантира, че тези ползи продължават да се натрупват с течение на времето.</w:t>
      </w:r>
    </w:p>
    <w:p w14:paraId="43DE0E95" w14:textId="77777777" w:rsidR="00205CD9" w:rsidRPr="00A226B3" w:rsidRDefault="00205CD9">
      <w:pPr>
        <w:pStyle w:val="BodyText"/>
        <w:spacing w:before="11"/>
        <w:rPr>
          <w:sz w:val="18"/>
          <w:szCs w:val="18"/>
        </w:rPr>
      </w:pPr>
    </w:p>
    <w:p w14:paraId="43DE0E96" w14:textId="77777777" w:rsidR="00205CD9" w:rsidRPr="00A226B3" w:rsidRDefault="00735DDA">
      <w:pPr>
        <w:pStyle w:val="BodyText"/>
        <w:ind w:left="678" w:right="672"/>
        <w:jc w:val="both"/>
        <w:rPr>
          <w:sz w:val="18"/>
          <w:szCs w:val="18"/>
        </w:rPr>
      </w:pPr>
      <w:r w:rsidRPr="00A226B3">
        <w:rPr>
          <w:sz w:val="18"/>
          <w:szCs w:val="18"/>
        </w:rPr>
        <w:t xml:space="preserve">Реформата на изкривените стимули, свързани с биологичното разнообразие, може да бъде трудна за прилагане на практика, тъй като някои съществуващи </w:t>
      </w:r>
      <w:proofErr w:type="spellStart"/>
      <w:r w:rsidRPr="00A226B3">
        <w:rPr>
          <w:sz w:val="18"/>
          <w:szCs w:val="18"/>
        </w:rPr>
        <w:t>бенефициери</w:t>
      </w:r>
      <w:proofErr w:type="spellEnd"/>
      <w:r w:rsidRPr="00A226B3">
        <w:rPr>
          <w:sz w:val="18"/>
          <w:szCs w:val="18"/>
        </w:rPr>
        <w:t xml:space="preserve"> биха могли да загубят богатство в резултат на реформите (въпреки че някои също биха могли да спечелят). В много случаи обаче ще бъде възможно да се разработят алтернативни политики, които да постигнат първоначалните социални и икономически цели на програмата за подкрепа, но без същите отрицателни последици за биологичното разнообразие.</w:t>
      </w:r>
    </w:p>
    <w:p w14:paraId="43DE0E97" w14:textId="77777777" w:rsidR="00205CD9" w:rsidRPr="00A226B3" w:rsidRDefault="00205CD9">
      <w:pPr>
        <w:pStyle w:val="BodyText"/>
        <w:spacing w:before="9"/>
        <w:rPr>
          <w:sz w:val="18"/>
          <w:szCs w:val="18"/>
        </w:rPr>
      </w:pPr>
    </w:p>
    <w:p w14:paraId="43DE0E98" w14:textId="77777777" w:rsidR="00205CD9" w:rsidRPr="00A226B3" w:rsidRDefault="00735DDA">
      <w:pPr>
        <w:pStyle w:val="BodyText"/>
        <w:spacing w:before="1"/>
        <w:ind w:left="678" w:right="676"/>
        <w:jc w:val="both"/>
        <w:rPr>
          <w:sz w:val="18"/>
          <w:szCs w:val="18"/>
        </w:rPr>
      </w:pPr>
      <w:r w:rsidRPr="00A226B3">
        <w:rPr>
          <w:sz w:val="18"/>
          <w:szCs w:val="18"/>
        </w:rPr>
        <w:t>Трябва също така да се признае, че не всички програми за подкрепа оказват отрицателен натиск върху ресурсите на биологичното разнообразие — някои имат ефект и за подобряване на възможностите за опазване и устойчиво използване на биологичното разнообразие. Въпреки това тези програми може да изискват периодична реформа, ако свързаните с тях икономически разходи надвишават публичните стойности, свързани със (сега защитените) ресурси на биологичното разнообразие.</w:t>
      </w:r>
    </w:p>
    <w:p w14:paraId="43DE0E99" w14:textId="77777777" w:rsidR="00205CD9" w:rsidRDefault="00205CD9">
      <w:pPr>
        <w:jc w:val="both"/>
        <w:sectPr w:rsidR="00205CD9">
          <w:pgSz w:w="12240" w:h="15840"/>
          <w:pgMar w:top="500" w:right="740" w:bottom="280" w:left="740" w:header="720" w:footer="720" w:gutter="0"/>
          <w:cols w:space="720"/>
        </w:sectPr>
      </w:pPr>
    </w:p>
    <w:p w14:paraId="43DE0E9A" w14:textId="77777777" w:rsidR="00205CD9" w:rsidRPr="00F32C8F" w:rsidRDefault="00735DDA">
      <w:pPr>
        <w:spacing w:before="63"/>
        <w:ind w:left="678"/>
        <w:jc w:val="both"/>
        <w:rPr>
          <w:sz w:val="20"/>
        </w:rPr>
      </w:pPr>
      <w:r w:rsidRPr="00F32C8F">
        <w:rPr>
          <w:sz w:val="20"/>
        </w:rPr>
        <w:lastRenderedPageBreak/>
        <w:t>Два елемента от изброените по-горе</w:t>
      </w:r>
      <w:r w:rsidRPr="00F32C8F">
        <w:rPr>
          <w:i/>
          <w:sz w:val="20"/>
        </w:rPr>
        <w:t xml:space="preserve"> рамкови стимули</w:t>
      </w:r>
      <w:r w:rsidRPr="00F32C8F">
        <w:rPr>
          <w:sz w:val="20"/>
        </w:rPr>
        <w:t xml:space="preserve"> са особено важни за мерките за стимулиране —</w:t>
      </w:r>
    </w:p>
    <w:p w14:paraId="6599468E" w14:textId="77777777" w:rsidR="00E23071" w:rsidRDefault="00735DDA">
      <w:pPr>
        <w:pStyle w:val="BodyText"/>
        <w:tabs>
          <w:tab w:val="left" w:pos="678"/>
          <w:tab w:val="right" w:pos="10655"/>
        </w:tabs>
        <w:spacing w:before="28" w:line="153" w:lineRule="auto"/>
        <w:ind w:left="110"/>
      </w:pPr>
      <w:r w:rsidRPr="00F32C8F">
        <w:rPr>
          <w:i/>
        </w:rPr>
        <w:t xml:space="preserve"> </w:t>
      </w:r>
      <w:r w:rsidRPr="00F32C8F">
        <w:rPr>
          <w:i/>
        </w:rPr>
        <w:tab/>
      </w:r>
      <w:r w:rsidRPr="00F32C8F">
        <w:t>Оценка на биологичното разнообразие и създаване на пазари.</w:t>
      </w:r>
      <w:r>
        <w:t xml:space="preserve"> Тези проблеми са разгледани по-подробно </w:t>
      </w:r>
    </w:p>
    <w:p w14:paraId="69DCB40F" w14:textId="77777777" w:rsidR="00F32C8F" w:rsidRDefault="00F32C8F" w:rsidP="00E23071">
      <w:pPr>
        <w:pStyle w:val="BodyText"/>
        <w:tabs>
          <w:tab w:val="right" w:pos="10655"/>
        </w:tabs>
        <w:spacing w:before="28" w:line="153" w:lineRule="auto"/>
        <w:ind w:left="110" w:firstLine="520"/>
      </w:pPr>
      <w:r>
        <w:t xml:space="preserve"> </w:t>
      </w:r>
      <w:r w:rsidR="00735DDA">
        <w:t>в следващите</w:t>
      </w:r>
      <w:r>
        <w:t xml:space="preserve"> раздели</w:t>
      </w:r>
      <w:r w:rsidR="00E23071">
        <w:t xml:space="preserve">                                                                                      </w:t>
      </w:r>
      <w:r>
        <w:t xml:space="preserve">                 </w:t>
      </w:r>
    </w:p>
    <w:p w14:paraId="43DE0E9B" w14:textId="0CFD3B68" w:rsidR="00205CD9" w:rsidRDefault="00735DDA" w:rsidP="00F32C8F">
      <w:pPr>
        <w:pStyle w:val="BodyText"/>
        <w:tabs>
          <w:tab w:val="right" w:pos="10655"/>
        </w:tabs>
        <w:spacing w:before="28" w:line="153" w:lineRule="auto"/>
        <w:ind w:left="720" w:firstLine="7560"/>
        <w:rPr>
          <w:b/>
        </w:rPr>
      </w:pPr>
      <w:r>
        <w:t>OECD/LEGAL/0326</w:t>
      </w:r>
      <w:r>
        <w:tab/>
      </w:r>
      <w:r>
        <w:rPr>
          <w:b/>
          <w:color w:val="2B2A29"/>
        </w:rPr>
        <w:t>9</w:t>
      </w:r>
    </w:p>
    <w:p w14:paraId="43DE0E9C" w14:textId="3AF6B027" w:rsidR="00205CD9" w:rsidRDefault="00200785" w:rsidP="00F32C8F">
      <w:pPr>
        <w:pStyle w:val="BodyText"/>
        <w:spacing w:line="176" w:lineRule="exact"/>
      </w:pPr>
      <w:r>
        <w:pict w14:anchorId="43DE0F09">
          <v:shape id="_x0000_s1035" style="position:absolute;margin-left:108.5pt;margin-top:2pt;width:22.1pt;height:.1pt;z-index:15733248;mso-position-horizontal-relative:page" coordorigin="2170,40" coordsize="442,0" o:spt="100" adj="0,,0" path="m2170,40r222,m2390,40r222,e" filled="f" strokecolor="#2a2928" strokeweight=".63pt">
            <v:stroke joinstyle="round"/>
            <v:formulas/>
            <v:path arrowok="t" o:connecttype="segments"/>
            <w10:wrap anchorx="page"/>
          </v:shape>
        </w:pict>
      </w:r>
      <w:r>
        <w:pict w14:anchorId="43DE0F0B">
          <v:line id="_x0000_s1033" style="position:absolute;z-index:15734272;mso-position-horizontal-relative:page" from="488pt,2pt" to="499.1pt,2pt" strokecolor="#2a2928" strokeweight=".63pt">
            <w10:wrap anchorx="page"/>
          </v:line>
        </w:pict>
      </w:r>
      <w:r>
        <w:pict w14:anchorId="43DE0F0C">
          <v:line id="_x0000_s1032" style="position:absolute;z-index:15734784;mso-position-horizontal-relative:page" from="537.5pt,2pt" to="554.1pt,2pt" strokecolor="#2a2928" strokeweight=".63pt">
            <w10:wrap anchorx="page"/>
          </v:line>
        </w:pict>
      </w:r>
    </w:p>
    <w:p w14:paraId="43DE0E9D" w14:textId="77777777" w:rsidR="00205CD9" w:rsidRDefault="00205CD9">
      <w:pPr>
        <w:pStyle w:val="BodyText"/>
        <w:spacing w:before="8"/>
      </w:pPr>
    </w:p>
    <w:p w14:paraId="43DE0E9E" w14:textId="77777777" w:rsidR="00205CD9" w:rsidRPr="00CF52D0" w:rsidRDefault="00735DDA">
      <w:pPr>
        <w:pStyle w:val="Heading2"/>
        <w:numPr>
          <w:ilvl w:val="0"/>
          <w:numId w:val="7"/>
        </w:numPr>
        <w:tabs>
          <w:tab w:val="left" w:pos="1530"/>
          <w:tab w:val="left" w:pos="1531"/>
        </w:tabs>
        <w:ind w:left="1530" w:hanging="853"/>
        <w:rPr>
          <w:sz w:val="18"/>
          <w:szCs w:val="18"/>
        </w:rPr>
      </w:pPr>
      <w:r w:rsidRPr="00CF52D0">
        <w:rPr>
          <w:sz w:val="18"/>
          <w:szCs w:val="18"/>
        </w:rPr>
        <w:t>ОЦЕНЯВАНЕ НА БИОЛОГИЧНОТО РАЗНООБРАЗИЕ</w:t>
      </w:r>
    </w:p>
    <w:p w14:paraId="43DE0E9F" w14:textId="77777777" w:rsidR="00205CD9" w:rsidRPr="00CF52D0" w:rsidRDefault="00205CD9">
      <w:pPr>
        <w:pStyle w:val="BodyText"/>
        <w:spacing w:before="11"/>
        <w:rPr>
          <w:b/>
          <w:sz w:val="18"/>
          <w:szCs w:val="18"/>
        </w:rPr>
      </w:pPr>
    </w:p>
    <w:p w14:paraId="43DE0EA0" w14:textId="77777777" w:rsidR="00205CD9" w:rsidRPr="00CF52D0" w:rsidRDefault="00735DDA">
      <w:pPr>
        <w:pStyle w:val="BodyText"/>
        <w:ind w:left="678" w:right="683"/>
        <w:jc w:val="both"/>
        <w:rPr>
          <w:sz w:val="18"/>
          <w:szCs w:val="18"/>
        </w:rPr>
      </w:pPr>
      <w:r w:rsidRPr="00CF52D0">
        <w:rPr>
          <w:sz w:val="18"/>
          <w:szCs w:val="18"/>
        </w:rPr>
        <w:t>Стимулите за постигане на конкретни резултати в областта на биологичното разнообразие имат за цел пряко или косвено да придвижат пазарната цена към ниво, което отразява пълното вътрешно поемане в управленските решения на стойностите на стоките и услугите, които биологичното разнообразие прави възможни.</w:t>
      </w:r>
    </w:p>
    <w:p w14:paraId="43DE0EA1" w14:textId="77777777" w:rsidR="00205CD9" w:rsidRPr="00CF52D0" w:rsidRDefault="00205CD9">
      <w:pPr>
        <w:pStyle w:val="BodyText"/>
        <w:spacing w:before="8"/>
        <w:rPr>
          <w:sz w:val="18"/>
          <w:szCs w:val="18"/>
        </w:rPr>
      </w:pPr>
    </w:p>
    <w:p w14:paraId="43DE0EA2" w14:textId="77777777" w:rsidR="00205CD9" w:rsidRPr="00CF52D0" w:rsidRDefault="00735DDA">
      <w:pPr>
        <w:pStyle w:val="BodyText"/>
        <w:spacing w:before="1"/>
        <w:ind w:left="678" w:right="672"/>
        <w:jc w:val="both"/>
        <w:rPr>
          <w:sz w:val="18"/>
          <w:szCs w:val="18"/>
        </w:rPr>
      </w:pPr>
      <w:r w:rsidRPr="00CF52D0">
        <w:rPr>
          <w:sz w:val="18"/>
          <w:szCs w:val="18"/>
        </w:rPr>
        <w:t xml:space="preserve">При много обстоятелства политиките за </w:t>
      </w:r>
      <w:proofErr w:type="spellStart"/>
      <w:r w:rsidRPr="00CF52D0">
        <w:rPr>
          <w:i/>
          <w:sz w:val="18"/>
          <w:szCs w:val="18"/>
        </w:rPr>
        <w:t>пряко</w:t>
      </w:r>
      <w:r w:rsidRPr="00CF52D0">
        <w:rPr>
          <w:sz w:val="18"/>
          <w:szCs w:val="18"/>
        </w:rPr>
        <w:t>вътрешно</w:t>
      </w:r>
      <w:proofErr w:type="spellEnd"/>
      <w:r w:rsidRPr="00CF52D0">
        <w:rPr>
          <w:sz w:val="18"/>
          <w:szCs w:val="18"/>
        </w:rPr>
        <w:t xml:space="preserve"> поемане на въздействията върху биологичното разнообразие не са осъществими (т.е. въздействията върху биологичното разнообразие не могат да бъдат отразени в решенията за използване на ресурсите чрез конкретното създаване на пазари за тези въздействия). В тези случаи може да са необходими </w:t>
      </w:r>
      <w:r w:rsidRPr="00CF52D0">
        <w:rPr>
          <w:i/>
          <w:sz w:val="18"/>
          <w:szCs w:val="18"/>
        </w:rPr>
        <w:t>по-непреки</w:t>
      </w:r>
      <w:r w:rsidRPr="00CF52D0">
        <w:rPr>
          <w:sz w:val="18"/>
          <w:szCs w:val="18"/>
        </w:rPr>
        <w:t xml:space="preserve"> мерки на държавната политика (пазарна или непазарна) (напр. данъци, налози, регулации и т.н.). Данъците, например, са „косвени“, защото могат само приблизително да отразяват колективната загуба, свързана с влошаването на биологичното разнообразие. Тоест те изискват от политиците да оценят нивото на колективната загуба — тази загуба не може да се наблюдава на пазара — и след това да наложат тази прогнозна цена на потребителите на ресурси, свързани с биологичното разнообразие.</w:t>
      </w:r>
    </w:p>
    <w:p w14:paraId="43DE0EA3" w14:textId="77777777" w:rsidR="00205CD9" w:rsidRPr="00CF52D0" w:rsidRDefault="00205CD9">
      <w:pPr>
        <w:pStyle w:val="BodyText"/>
        <w:spacing w:before="1"/>
        <w:rPr>
          <w:sz w:val="18"/>
          <w:szCs w:val="18"/>
        </w:rPr>
      </w:pPr>
    </w:p>
    <w:p w14:paraId="43DE0EA4" w14:textId="77777777" w:rsidR="00205CD9" w:rsidRPr="00CF52D0" w:rsidRDefault="00735DDA">
      <w:pPr>
        <w:pStyle w:val="BodyText"/>
        <w:ind w:left="678" w:right="676"/>
        <w:jc w:val="both"/>
        <w:rPr>
          <w:sz w:val="18"/>
          <w:szCs w:val="18"/>
        </w:rPr>
      </w:pPr>
      <w:r w:rsidRPr="00CF52D0">
        <w:rPr>
          <w:sz w:val="18"/>
          <w:szCs w:val="18"/>
        </w:rPr>
        <w:t xml:space="preserve">За да се получи такава информация, ще е необходим някакъв показател за допълнителните разходи за използване на ресурси, свързани с биологичното разнообразие, за да се калибрира правилно разглеждания инструмент на политиката (напр. за определяне на данък на социално оптимално ниво). </w:t>
      </w:r>
      <w:r w:rsidRPr="00CF52D0">
        <w:rPr>
          <w:i/>
          <w:sz w:val="18"/>
          <w:szCs w:val="18"/>
        </w:rPr>
        <w:t>Икономическата</w:t>
      </w:r>
      <w:r w:rsidRPr="00CF52D0">
        <w:rPr>
          <w:sz w:val="18"/>
          <w:szCs w:val="18"/>
        </w:rPr>
        <w:t xml:space="preserve"> оценка може да помогне в този процес, като предостави парична мярка за засегнатите въздействия.</w:t>
      </w:r>
    </w:p>
    <w:p w14:paraId="43DE0EA5" w14:textId="77777777" w:rsidR="00205CD9" w:rsidRPr="00CF52D0" w:rsidRDefault="00205CD9">
      <w:pPr>
        <w:pStyle w:val="BodyText"/>
        <w:spacing w:before="7"/>
        <w:rPr>
          <w:sz w:val="18"/>
          <w:szCs w:val="18"/>
        </w:rPr>
      </w:pPr>
    </w:p>
    <w:p w14:paraId="43DE0EA6" w14:textId="77777777" w:rsidR="00205CD9" w:rsidRPr="00CF52D0" w:rsidRDefault="00735DDA">
      <w:pPr>
        <w:pStyle w:val="BodyText"/>
        <w:spacing w:before="1"/>
        <w:ind w:left="678" w:right="675"/>
        <w:jc w:val="both"/>
        <w:rPr>
          <w:sz w:val="18"/>
          <w:szCs w:val="18"/>
        </w:rPr>
      </w:pPr>
      <w:r w:rsidRPr="00CF52D0">
        <w:rPr>
          <w:sz w:val="18"/>
          <w:szCs w:val="18"/>
        </w:rPr>
        <w:t xml:space="preserve">В допълнение към това </w:t>
      </w:r>
      <w:r w:rsidRPr="00CF52D0">
        <w:rPr>
          <w:i/>
          <w:sz w:val="18"/>
          <w:szCs w:val="18"/>
        </w:rPr>
        <w:t>икономическо</w:t>
      </w:r>
      <w:r w:rsidRPr="00CF52D0">
        <w:rPr>
          <w:sz w:val="18"/>
          <w:szCs w:val="18"/>
        </w:rPr>
        <w:t xml:space="preserve"> изчисление обаче, политиците ще се нуждаят и от информация относно </w:t>
      </w:r>
      <w:r w:rsidRPr="00CF52D0">
        <w:rPr>
          <w:i/>
          <w:sz w:val="18"/>
          <w:szCs w:val="18"/>
        </w:rPr>
        <w:t>неикономически</w:t>
      </w:r>
      <w:r w:rsidRPr="00CF52D0">
        <w:rPr>
          <w:sz w:val="18"/>
          <w:szCs w:val="18"/>
        </w:rPr>
        <w:t xml:space="preserve"> критерии (напр. морален избор, естетически, културни и духовни ценности). Съществуват няколко техники за описание на тези критерии с термини, които са полезни за вземане на решения (напр. анализ по няколко критерия, фокус групи и т.н.). Следователно както икономическите, така и неикономическите елементи ще влязат в повечето политически решения в областта на биологичното разнообразие.</w:t>
      </w:r>
    </w:p>
    <w:p w14:paraId="43DE0EA7" w14:textId="77777777" w:rsidR="00205CD9" w:rsidRPr="00CF52D0" w:rsidRDefault="00205CD9">
      <w:pPr>
        <w:pStyle w:val="BodyText"/>
        <w:rPr>
          <w:sz w:val="18"/>
          <w:szCs w:val="18"/>
        </w:rPr>
      </w:pPr>
    </w:p>
    <w:p w14:paraId="43DE0EA8" w14:textId="77777777" w:rsidR="00205CD9" w:rsidRPr="00CF52D0" w:rsidRDefault="00735DDA">
      <w:pPr>
        <w:pStyle w:val="BodyText"/>
        <w:ind w:left="678" w:right="680"/>
        <w:jc w:val="both"/>
        <w:rPr>
          <w:sz w:val="18"/>
          <w:szCs w:val="18"/>
        </w:rPr>
      </w:pPr>
      <w:r w:rsidRPr="00CF52D0">
        <w:rPr>
          <w:sz w:val="18"/>
          <w:szCs w:val="18"/>
        </w:rPr>
        <w:t xml:space="preserve">По принцип техниките за икономическа оценка трябва да се използват само до точката, в която очакваните нарастващи (включително дългосрочни) подобрения в решението са съизмерими с разходите за извършване на оценката на първо място (т.е. самото оценъчно проучване). Останалата част от този раздел се занимава основно с </w:t>
      </w:r>
      <w:r w:rsidRPr="00CF52D0">
        <w:rPr>
          <w:i/>
          <w:sz w:val="18"/>
          <w:szCs w:val="18"/>
        </w:rPr>
        <w:t>икономическата</w:t>
      </w:r>
      <w:r w:rsidRPr="00CF52D0">
        <w:rPr>
          <w:sz w:val="18"/>
          <w:szCs w:val="18"/>
        </w:rPr>
        <w:t xml:space="preserve"> оценка.</w:t>
      </w:r>
    </w:p>
    <w:p w14:paraId="43DE0EA9" w14:textId="77777777" w:rsidR="00205CD9" w:rsidRPr="00CF52D0" w:rsidRDefault="00205CD9">
      <w:pPr>
        <w:pStyle w:val="BodyText"/>
        <w:spacing w:before="10"/>
        <w:rPr>
          <w:sz w:val="18"/>
          <w:szCs w:val="18"/>
        </w:rPr>
      </w:pPr>
    </w:p>
    <w:p w14:paraId="43DE0EAA" w14:textId="77777777" w:rsidR="00205CD9" w:rsidRPr="00CF52D0" w:rsidRDefault="00735DDA">
      <w:pPr>
        <w:pStyle w:val="BodyText"/>
        <w:ind w:left="678" w:right="672"/>
        <w:jc w:val="both"/>
        <w:rPr>
          <w:sz w:val="18"/>
          <w:szCs w:val="18"/>
        </w:rPr>
      </w:pPr>
      <w:r w:rsidRPr="00CF52D0">
        <w:rPr>
          <w:sz w:val="18"/>
          <w:szCs w:val="18"/>
        </w:rPr>
        <w:t xml:space="preserve">Оценяването на икономическата стойност на биологичното разнообразие в конкретен политически контекст трябва да включва изследване на всички стойности за </w:t>
      </w:r>
      <w:r w:rsidRPr="00CF52D0">
        <w:rPr>
          <w:i/>
          <w:sz w:val="18"/>
          <w:szCs w:val="18"/>
        </w:rPr>
        <w:t>употреба</w:t>
      </w:r>
      <w:r w:rsidRPr="00CF52D0">
        <w:rPr>
          <w:sz w:val="18"/>
          <w:szCs w:val="18"/>
        </w:rPr>
        <w:t xml:space="preserve"> и </w:t>
      </w:r>
      <w:r w:rsidRPr="00CF52D0">
        <w:rPr>
          <w:i/>
          <w:sz w:val="18"/>
          <w:szCs w:val="18"/>
        </w:rPr>
        <w:t>неупотреба</w:t>
      </w:r>
      <w:r w:rsidRPr="00CF52D0">
        <w:rPr>
          <w:sz w:val="18"/>
          <w:szCs w:val="18"/>
        </w:rPr>
        <w:t xml:space="preserve">. Примери за стойности на употреба включват услугите, предоставяни от екосистемите. Стойностите за неупотреба включват, </w:t>
      </w:r>
      <w:proofErr w:type="spellStart"/>
      <w:r w:rsidRPr="00CF52D0">
        <w:rPr>
          <w:i/>
          <w:sz w:val="18"/>
          <w:szCs w:val="18"/>
        </w:rPr>
        <w:t>inter</w:t>
      </w:r>
      <w:proofErr w:type="spellEnd"/>
      <w:r w:rsidRPr="00CF52D0">
        <w:rPr>
          <w:i/>
          <w:sz w:val="18"/>
          <w:szCs w:val="18"/>
        </w:rPr>
        <w:t xml:space="preserve"> </w:t>
      </w:r>
      <w:proofErr w:type="spellStart"/>
      <w:r w:rsidRPr="00CF52D0">
        <w:rPr>
          <w:i/>
          <w:sz w:val="18"/>
          <w:szCs w:val="18"/>
        </w:rPr>
        <w:t>alia</w:t>
      </w:r>
      <w:proofErr w:type="spellEnd"/>
      <w:r w:rsidRPr="00CF52D0">
        <w:rPr>
          <w:i/>
          <w:sz w:val="18"/>
          <w:szCs w:val="18"/>
        </w:rPr>
        <w:t xml:space="preserve">: </w:t>
      </w:r>
      <w:r w:rsidRPr="00CF52D0">
        <w:rPr>
          <w:sz w:val="18"/>
          <w:szCs w:val="18"/>
        </w:rPr>
        <w:t>стойности на опции, стойности на съществуване и стойности на наследство.</w:t>
      </w:r>
    </w:p>
    <w:p w14:paraId="43DE0EAB" w14:textId="77777777" w:rsidR="00205CD9" w:rsidRPr="00CF52D0" w:rsidRDefault="00205CD9">
      <w:pPr>
        <w:pStyle w:val="BodyText"/>
        <w:spacing w:before="9"/>
        <w:rPr>
          <w:sz w:val="18"/>
          <w:szCs w:val="18"/>
        </w:rPr>
      </w:pPr>
    </w:p>
    <w:p w14:paraId="43DE0EAC" w14:textId="77777777" w:rsidR="00205CD9" w:rsidRPr="00CF52D0" w:rsidRDefault="00735DDA">
      <w:pPr>
        <w:pStyle w:val="BodyText"/>
        <w:ind w:left="678" w:right="674"/>
        <w:jc w:val="both"/>
        <w:rPr>
          <w:sz w:val="18"/>
          <w:szCs w:val="18"/>
        </w:rPr>
      </w:pPr>
      <w:r w:rsidRPr="00CF52D0">
        <w:rPr>
          <w:sz w:val="18"/>
          <w:szCs w:val="18"/>
        </w:rPr>
        <w:t xml:space="preserve">Оценяването на </w:t>
      </w:r>
      <w:r w:rsidRPr="00CF52D0">
        <w:rPr>
          <w:i/>
          <w:sz w:val="18"/>
          <w:szCs w:val="18"/>
        </w:rPr>
        <w:t>базираните</w:t>
      </w:r>
      <w:r w:rsidRPr="00CF52D0">
        <w:rPr>
          <w:i/>
          <w:iCs/>
          <w:sz w:val="18"/>
          <w:szCs w:val="18"/>
        </w:rPr>
        <w:t xml:space="preserve"> на пазара </w:t>
      </w:r>
      <w:r w:rsidRPr="00CF52D0">
        <w:rPr>
          <w:sz w:val="18"/>
          <w:szCs w:val="18"/>
        </w:rPr>
        <w:t xml:space="preserve">(частни) стоки и услуги, предоставяни от ресурси, свързани с биологичното разнообразие (т.е. преминаване към пълно вътрешно поемане) е по своята същност по-лесно от оценяването на </w:t>
      </w:r>
      <w:r w:rsidRPr="00CF52D0">
        <w:rPr>
          <w:i/>
          <w:sz w:val="18"/>
          <w:szCs w:val="18"/>
        </w:rPr>
        <w:t>непазарни</w:t>
      </w:r>
      <w:r w:rsidRPr="00CF52D0">
        <w:rPr>
          <w:sz w:val="18"/>
          <w:szCs w:val="18"/>
        </w:rPr>
        <w:t xml:space="preserve"> (публични) такива. Въпреки това съществуват приемливи методологии за много от двата типа и трябва да се прилагат по подходящ начин. Използването на повече </w:t>
      </w:r>
      <w:proofErr w:type="spellStart"/>
      <w:r w:rsidRPr="00CF52D0">
        <w:rPr>
          <w:i/>
          <w:sz w:val="18"/>
          <w:szCs w:val="18"/>
        </w:rPr>
        <w:t>ad</w:t>
      </w:r>
      <w:proofErr w:type="spellEnd"/>
      <w:r w:rsidRPr="00CF52D0">
        <w:rPr>
          <w:i/>
          <w:sz w:val="18"/>
          <w:szCs w:val="18"/>
        </w:rPr>
        <w:t xml:space="preserve"> </w:t>
      </w:r>
      <w:proofErr w:type="spellStart"/>
      <w:r w:rsidRPr="00CF52D0">
        <w:rPr>
          <w:i/>
          <w:sz w:val="18"/>
          <w:szCs w:val="18"/>
        </w:rPr>
        <w:t>hoc</w:t>
      </w:r>
      <w:proofErr w:type="spellEnd"/>
      <w:r w:rsidRPr="00CF52D0">
        <w:rPr>
          <w:sz w:val="18"/>
          <w:szCs w:val="18"/>
        </w:rPr>
        <w:t xml:space="preserve"> подходи (като разказвателни изявления) също може понякога да е подходящо.</w:t>
      </w:r>
    </w:p>
    <w:p w14:paraId="43DE0EAD" w14:textId="77777777" w:rsidR="00205CD9" w:rsidRPr="00CF52D0" w:rsidRDefault="00205CD9">
      <w:pPr>
        <w:pStyle w:val="BodyText"/>
        <w:rPr>
          <w:sz w:val="18"/>
          <w:szCs w:val="18"/>
        </w:rPr>
      </w:pPr>
    </w:p>
    <w:p w14:paraId="43DE0EAE" w14:textId="77777777" w:rsidR="00205CD9" w:rsidRPr="00CF52D0" w:rsidRDefault="00735DDA">
      <w:pPr>
        <w:pStyle w:val="BodyText"/>
        <w:ind w:left="678" w:right="676"/>
        <w:jc w:val="both"/>
        <w:rPr>
          <w:sz w:val="18"/>
          <w:szCs w:val="18"/>
        </w:rPr>
      </w:pPr>
      <w:r w:rsidRPr="00CF52D0">
        <w:rPr>
          <w:sz w:val="18"/>
          <w:szCs w:val="18"/>
        </w:rPr>
        <w:t>Много ценности на биологичното разнообразие ще ангажират обществените интереси; някои обаче ще ангажират и частни интереси в достатъчна степен, за да могат частните пазари сами да се доближат до най-доброто социално използване на ресурсите, свързани с биологичното разнообразие. И двата елемента трябва да бъдат признати като основа за разглеждане на съответните роли на правителствата и частните участници в последващото управление на свързаните с биологичното разнообразие ресурси.</w:t>
      </w:r>
    </w:p>
    <w:p w14:paraId="43DE0EAF" w14:textId="77777777" w:rsidR="00205CD9" w:rsidRPr="00CF52D0" w:rsidRDefault="00205CD9">
      <w:pPr>
        <w:pStyle w:val="BodyText"/>
        <w:spacing w:before="10"/>
        <w:rPr>
          <w:sz w:val="18"/>
          <w:szCs w:val="18"/>
        </w:rPr>
      </w:pPr>
    </w:p>
    <w:p w14:paraId="43DE0EB0" w14:textId="77777777" w:rsidR="00205CD9" w:rsidRPr="00CF52D0" w:rsidRDefault="00735DDA">
      <w:pPr>
        <w:pStyle w:val="BodyText"/>
        <w:ind w:left="678" w:right="674"/>
        <w:jc w:val="both"/>
        <w:rPr>
          <w:sz w:val="18"/>
          <w:szCs w:val="18"/>
        </w:rPr>
      </w:pPr>
      <w:r w:rsidRPr="00CF52D0">
        <w:rPr>
          <w:sz w:val="18"/>
          <w:szCs w:val="18"/>
        </w:rPr>
        <w:t>Въпреки че дебатът относно приложимостта на икономическите техники за оценка на (непазарните) екологични ресурси продължава, използването на тези техники в управлението на биологичното разнообразие нараства. Този растеж се дължи главно на напредъка в теоретичните методологии, които са в основата на тези процеси, които им позволяват да отчетат по-широки аспекти на екологичните ресурси, които представляват интерес за политиците.</w:t>
      </w:r>
    </w:p>
    <w:p w14:paraId="43DE0EB1" w14:textId="77777777" w:rsidR="00205CD9" w:rsidRPr="00CF52D0" w:rsidRDefault="00205CD9">
      <w:pPr>
        <w:pStyle w:val="BodyText"/>
        <w:spacing w:before="10"/>
        <w:rPr>
          <w:sz w:val="18"/>
          <w:szCs w:val="18"/>
        </w:rPr>
      </w:pPr>
    </w:p>
    <w:p w14:paraId="43DE0EB2" w14:textId="77777777" w:rsidR="00205CD9" w:rsidRPr="00CF52D0" w:rsidRDefault="00735DDA">
      <w:pPr>
        <w:pStyle w:val="BodyText"/>
        <w:ind w:left="678" w:right="677"/>
        <w:jc w:val="both"/>
        <w:rPr>
          <w:sz w:val="18"/>
          <w:szCs w:val="18"/>
        </w:rPr>
      </w:pPr>
      <w:r w:rsidRPr="00CF52D0">
        <w:rPr>
          <w:sz w:val="18"/>
          <w:szCs w:val="18"/>
        </w:rPr>
        <w:t xml:space="preserve">Въпреки това все още има пропаст между силно прецизираните оценки на стойността, които са желателни за вземане на решения, и способността на техниките за оценка да отговорят на това търсене. По този начин, докато техниките за оценка остават важни </w:t>
      </w:r>
      <w:r w:rsidRPr="00CF52D0">
        <w:rPr>
          <w:i/>
          <w:sz w:val="18"/>
          <w:szCs w:val="18"/>
        </w:rPr>
        <w:t>приносители</w:t>
      </w:r>
      <w:r w:rsidRPr="00CF52D0">
        <w:rPr>
          <w:sz w:val="18"/>
          <w:szCs w:val="18"/>
        </w:rPr>
        <w:t xml:space="preserve"> към рамката за вземане на решения, други подходи също често ще трябва да бъдат взети предвид при достигането на окончателното политическо решение.</w:t>
      </w:r>
    </w:p>
    <w:p w14:paraId="43DE0EB3" w14:textId="77777777" w:rsidR="00205CD9" w:rsidRPr="00CF52D0" w:rsidRDefault="00205CD9">
      <w:pPr>
        <w:pStyle w:val="BodyText"/>
        <w:spacing w:before="9"/>
        <w:rPr>
          <w:sz w:val="18"/>
          <w:szCs w:val="18"/>
        </w:rPr>
      </w:pPr>
    </w:p>
    <w:p w14:paraId="43DE0EB4" w14:textId="77777777" w:rsidR="00205CD9" w:rsidRPr="00CF52D0" w:rsidRDefault="00735DDA">
      <w:pPr>
        <w:pStyle w:val="BodyText"/>
        <w:spacing w:line="242" w:lineRule="auto"/>
        <w:ind w:left="678" w:right="682"/>
        <w:jc w:val="both"/>
        <w:rPr>
          <w:sz w:val="18"/>
          <w:szCs w:val="18"/>
        </w:rPr>
      </w:pPr>
      <w:r w:rsidRPr="00CF52D0">
        <w:rPr>
          <w:sz w:val="18"/>
          <w:szCs w:val="18"/>
        </w:rPr>
        <w:t xml:space="preserve">Съществува широк </w:t>
      </w:r>
      <w:r w:rsidRPr="00CF52D0">
        <w:rPr>
          <w:i/>
          <w:sz w:val="18"/>
          <w:szCs w:val="18"/>
        </w:rPr>
        <w:t>спектър</w:t>
      </w:r>
      <w:r w:rsidRPr="00CF52D0">
        <w:rPr>
          <w:sz w:val="18"/>
          <w:szCs w:val="18"/>
        </w:rPr>
        <w:t xml:space="preserve"> от методи за количествена оценка за използване при разработването и прилагането на политиката за биоразнообразие. Някои от най-често използваните подходи включват:</w:t>
      </w:r>
    </w:p>
    <w:p w14:paraId="43DE0EB5" w14:textId="77777777" w:rsidR="00205CD9" w:rsidRPr="00CF52D0" w:rsidRDefault="00205CD9">
      <w:pPr>
        <w:pStyle w:val="BodyText"/>
        <w:spacing w:before="7"/>
        <w:rPr>
          <w:sz w:val="18"/>
          <w:szCs w:val="18"/>
        </w:rPr>
      </w:pPr>
    </w:p>
    <w:p w14:paraId="43DE0EB6" w14:textId="77777777" w:rsidR="00205CD9" w:rsidRPr="00CF52D0" w:rsidRDefault="00735DDA">
      <w:pPr>
        <w:ind w:left="678"/>
        <w:jc w:val="both"/>
        <w:rPr>
          <w:i/>
          <w:sz w:val="18"/>
          <w:szCs w:val="18"/>
        </w:rPr>
      </w:pPr>
      <w:r w:rsidRPr="00CF52D0">
        <w:rPr>
          <w:i/>
          <w:sz w:val="18"/>
          <w:szCs w:val="18"/>
        </w:rPr>
        <w:t>Подходи на пазарната цена:</w:t>
      </w:r>
    </w:p>
    <w:p w14:paraId="43DE0EB7" w14:textId="77777777" w:rsidR="00205CD9" w:rsidRDefault="00205CD9">
      <w:pPr>
        <w:jc w:val="both"/>
        <w:rPr>
          <w:sz w:val="20"/>
        </w:rPr>
        <w:sectPr w:rsidR="00205CD9">
          <w:pgSz w:w="12240" w:h="15840"/>
          <w:pgMar w:top="500" w:right="740" w:bottom="280" w:left="740" w:header="720" w:footer="720" w:gutter="0"/>
          <w:cols w:space="720"/>
        </w:sectPr>
      </w:pPr>
    </w:p>
    <w:p w14:paraId="7563BEF4" w14:textId="77777777" w:rsidR="00027116" w:rsidRDefault="00735DDA" w:rsidP="00027116">
      <w:pPr>
        <w:pStyle w:val="BodyText"/>
        <w:tabs>
          <w:tab w:val="left" w:pos="677"/>
        </w:tabs>
        <w:spacing w:before="21" w:line="168" w:lineRule="auto"/>
        <w:ind w:left="1398" w:right="685" w:hanging="1289"/>
      </w:pPr>
      <w:r>
        <w:lastRenderedPageBreak/>
        <w:t>Стойност на базата на: наблюдавани пазарни стойности за стоки и услуги, свързани с биологичното разнообразие;</w:t>
      </w:r>
      <w:r w:rsidR="00027116">
        <w:t xml:space="preserve"> </w:t>
      </w:r>
      <w:r w:rsidR="00027116">
        <w:t>продуктивност на свързаните с биологичното разнообразие ресурси; и съображения за разходи (разходи за подмяна; разходи за възстановяване; или стойността на превантивните разходи).</w:t>
      </w:r>
    </w:p>
    <w:p w14:paraId="0EA1932D" w14:textId="77777777" w:rsidR="00027116" w:rsidRDefault="00027116" w:rsidP="00027116">
      <w:pPr>
        <w:pStyle w:val="BodyText"/>
        <w:spacing w:before="9"/>
        <w:rPr>
          <w:sz w:val="21"/>
        </w:rPr>
      </w:pPr>
    </w:p>
    <w:p w14:paraId="43DE0EB8" w14:textId="6797D4A0" w:rsidR="00205CD9" w:rsidRDefault="00205CD9">
      <w:pPr>
        <w:pStyle w:val="ListParagraph"/>
        <w:numPr>
          <w:ilvl w:val="0"/>
          <w:numId w:val="3"/>
        </w:numPr>
        <w:tabs>
          <w:tab w:val="left" w:pos="1398"/>
          <w:tab w:val="left" w:pos="1399"/>
        </w:tabs>
        <w:spacing w:before="65" w:line="239" w:lineRule="exact"/>
        <w:ind w:hanging="361"/>
        <w:rPr>
          <w:sz w:val="20"/>
        </w:rPr>
      </w:pPr>
    </w:p>
    <w:p w14:paraId="43DE0EBA" w14:textId="5BF7D8DE" w:rsidR="00205CD9" w:rsidRPr="0011342F" w:rsidRDefault="00200785" w:rsidP="00027116">
      <w:pPr>
        <w:pStyle w:val="BodyText"/>
        <w:tabs>
          <w:tab w:val="left" w:pos="677"/>
        </w:tabs>
        <w:spacing w:before="21" w:line="168" w:lineRule="auto"/>
        <w:ind w:left="1398" w:right="685" w:hanging="768"/>
        <w:rPr>
          <w:sz w:val="18"/>
          <w:szCs w:val="16"/>
        </w:rPr>
      </w:pPr>
      <w:r w:rsidRPr="0011342F">
        <w:rPr>
          <w:sz w:val="16"/>
          <w:szCs w:val="16"/>
        </w:rPr>
        <w:pict w14:anchorId="43DE0F0D">
          <v:shape id="_x0000_s1031" style="position:absolute;left:0;text-align:left;margin-left:510pt;margin-top:15.85pt;width:44.1pt;height:.1pt;z-index:-15946752;mso-position-horizontal-relative:page" coordorigin="10200,317" coordsize="882,0" o:spt="100" adj="0,,0" path="m10200,317r332,m10530,317r222,m10750,317r332,e" filled="f" strokecolor="#2a2928" strokeweight=".63pt">
            <v:stroke joinstyle="round"/>
            <v:formulas/>
            <v:path arrowok="t" o:connecttype="segments"/>
            <w10:wrap anchorx="page"/>
          </v:shape>
        </w:pict>
      </w:r>
      <w:r w:rsidR="00735DDA" w:rsidRPr="0011342F">
        <w:rPr>
          <w:b/>
          <w:color w:val="2B2A29"/>
          <w:sz w:val="16"/>
          <w:szCs w:val="16"/>
        </w:rPr>
        <w:t>1</w:t>
      </w:r>
      <w:r w:rsidR="00735DDA" w:rsidRPr="0011342F">
        <w:rPr>
          <w:b/>
          <w:color w:val="2B2A29"/>
          <w:sz w:val="16"/>
          <w:szCs w:val="16"/>
          <w:u w:val="single" w:color="2A2928"/>
        </w:rPr>
        <w:t>0</w:t>
      </w:r>
      <w:r w:rsidR="00735DDA" w:rsidRPr="0011342F">
        <w:rPr>
          <w:color w:val="2B2A29"/>
          <w:sz w:val="16"/>
          <w:szCs w:val="16"/>
          <w:u w:val="single" w:color="2A2928"/>
        </w:rPr>
        <w:t xml:space="preserve"> OECD/LEGAL/0326</w:t>
      </w:r>
      <w:r w:rsidR="00735DDA" w:rsidRPr="0011342F">
        <w:rPr>
          <w:sz w:val="16"/>
          <w:szCs w:val="16"/>
        </w:rPr>
        <w:t xml:space="preserve"> </w:t>
      </w:r>
    </w:p>
    <w:p w14:paraId="43DE0EBB" w14:textId="77777777" w:rsidR="00205CD9" w:rsidRPr="0011342F" w:rsidRDefault="00735DDA">
      <w:pPr>
        <w:ind w:left="678"/>
        <w:rPr>
          <w:i/>
          <w:sz w:val="16"/>
          <w:szCs w:val="18"/>
        </w:rPr>
      </w:pPr>
      <w:r w:rsidRPr="0011342F">
        <w:rPr>
          <w:i/>
          <w:sz w:val="16"/>
          <w:szCs w:val="18"/>
        </w:rPr>
        <w:t>Подходи за разкрити предпочитания:</w:t>
      </w:r>
    </w:p>
    <w:p w14:paraId="43DE0EBC" w14:textId="77777777" w:rsidR="00205CD9" w:rsidRPr="0011342F" w:rsidRDefault="00205CD9">
      <w:pPr>
        <w:pStyle w:val="BodyText"/>
        <w:spacing w:before="10"/>
        <w:rPr>
          <w:i/>
          <w:sz w:val="18"/>
          <w:szCs w:val="16"/>
        </w:rPr>
      </w:pPr>
    </w:p>
    <w:p w14:paraId="43DE0EBD" w14:textId="77777777" w:rsidR="00205CD9" w:rsidRPr="0011342F" w:rsidRDefault="00735DDA">
      <w:pPr>
        <w:pStyle w:val="ListParagraph"/>
        <w:numPr>
          <w:ilvl w:val="0"/>
          <w:numId w:val="3"/>
        </w:numPr>
        <w:tabs>
          <w:tab w:val="left" w:pos="1398"/>
          <w:tab w:val="left" w:pos="1399"/>
        </w:tabs>
        <w:spacing w:before="1" w:line="228" w:lineRule="auto"/>
        <w:ind w:right="671"/>
        <w:rPr>
          <w:sz w:val="16"/>
          <w:szCs w:val="18"/>
        </w:rPr>
      </w:pPr>
      <w:r w:rsidRPr="0011342F">
        <w:rPr>
          <w:sz w:val="16"/>
          <w:szCs w:val="18"/>
        </w:rPr>
        <w:t xml:space="preserve">Стойност на базата на промените в пазарните цени, които са резултат от промени в непазарни (свързани с биологичното разнообразие) активи (метод на разходите за пътуване; метод за развлекателна употреба; </w:t>
      </w:r>
      <w:proofErr w:type="spellStart"/>
      <w:r w:rsidRPr="0011342F">
        <w:rPr>
          <w:sz w:val="16"/>
          <w:szCs w:val="18"/>
        </w:rPr>
        <w:t>хедоничен</w:t>
      </w:r>
      <w:proofErr w:type="spellEnd"/>
      <w:r w:rsidRPr="0011342F">
        <w:rPr>
          <w:sz w:val="16"/>
          <w:szCs w:val="18"/>
        </w:rPr>
        <w:t xml:space="preserve"> метод).</w:t>
      </w:r>
    </w:p>
    <w:p w14:paraId="43DE0EBE" w14:textId="77777777" w:rsidR="00205CD9" w:rsidRPr="0011342F" w:rsidRDefault="00205CD9">
      <w:pPr>
        <w:pStyle w:val="BodyText"/>
        <w:spacing w:before="11"/>
        <w:rPr>
          <w:sz w:val="16"/>
          <w:szCs w:val="16"/>
        </w:rPr>
      </w:pPr>
    </w:p>
    <w:p w14:paraId="43DE0EBF" w14:textId="77777777" w:rsidR="00205CD9" w:rsidRPr="0011342F" w:rsidRDefault="00735DDA">
      <w:pPr>
        <w:ind w:left="678"/>
        <w:rPr>
          <w:i/>
          <w:sz w:val="16"/>
          <w:szCs w:val="18"/>
        </w:rPr>
      </w:pPr>
      <w:r w:rsidRPr="0011342F">
        <w:rPr>
          <w:i/>
          <w:sz w:val="16"/>
          <w:szCs w:val="18"/>
        </w:rPr>
        <w:t>Подходи за заявени предпочитания:</w:t>
      </w:r>
    </w:p>
    <w:p w14:paraId="43DE0EC0" w14:textId="77777777" w:rsidR="00205CD9" w:rsidRPr="0011342F" w:rsidRDefault="00205CD9">
      <w:pPr>
        <w:pStyle w:val="BodyText"/>
        <w:spacing w:before="8"/>
        <w:rPr>
          <w:i/>
          <w:sz w:val="18"/>
          <w:szCs w:val="16"/>
        </w:rPr>
      </w:pPr>
    </w:p>
    <w:p w14:paraId="43DE0EC1" w14:textId="77777777" w:rsidR="00205CD9" w:rsidRPr="0011342F" w:rsidRDefault="00735DDA">
      <w:pPr>
        <w:pStyle w:val="ListParagraph"/>
        <w:numPr>
          <w:ilvl w:val="0"/>
          <w:numId w:val="3"/>
        </w:numPr>
        <w:tabs>
          <w:tab w:val="left" w:pos="1398"/>
          <w:tab w:val="left" w:pos="1399"/>
        </w:tabs>
        <w:spacing w:line="228" w:lineRule="auto"/>
        <w:ind w:right="677"/>
        <w:rPr>
          <w:sz w:val="16"/>
          <w:szCs w:val="18"/>
        </w:rPr>
      </w:pPr>
      <w:r w:rsidRPr="0011342F">
        <w:rPr>
          <w:sz w:val="16"/>
          <w:szCs w:val="18"/>
        </w:rPr>
        <w:t>Стойност на базата на заявена „готовност за плащане“ за опазване и възстановяване на биологичното разнообразие (метод на условна оценка).</w:t>
      </w:r>
    </w:p>
    <w:p w14:paraId="43DE0EC2" w14:textId="77777777" w:rsidR="00205CD9" w:rsidRPr="0011342F" w:rsidRDefault="00205CD9">
      <w:pPr>
        <w:pStyle w:val="BodyText"/>
        <w:rPr>
          <w:sz w:val="18"/>
          <w:szCs w:val="16"/>
        </w:rPr>
      </w:pPr>
    </w:p>
    <w:p w14:paraId="43DE0EC3" w14:textId="77777777" w:rsidR="00205CD9" w:rsidRPr="0011342F" w:rsidRDefault="00735DDA">
      <w:pPr>
        <w:ind w:left="678"/>
        <w:rPr>
          <w:i/>
          <w:sz w:val="16"/>
          <w:szCs w:val="18"/>
        </w:rPr>
      </w:pPr>
      <w:r w:rsidRPr="0011342F">
        <w:rPr>
          <w:i/>
          <w:sz w:val="16"/>
          <w:szCs w:val="18"/>
        </w:rPr>
        <w:t>Подходи за прехвърляне на предимства:</w:t>
      </w:r>
    </w:p>
    <w:p w14:paraId="43DE0EC4" w14:textId="77777777" w:rsidR="00205CD9" w:rsidRPr="0011342F" w:rsidRDefault="00205CD9">
      <w:pPr>
        <w:pStyle w:val="BodyText"/>
        <w:spacing w:before="10"/>
        <w:rPr>
          <w:i/>
          <w:sz w:val="18"/>
          <w:szCs w:val="16"/>
        </w:rPr>
      </w:pPr>
    </w:p>
    <w:p w14:paraId="43DE0EC5" w14:textId="77777777" w:rsidR="00205CD9" w:rsidRPr="0011342F" w:rsidRDefault="00735DDA">
      <w:pPr>
        <w:pStyle w:val="ListParagraph"/>
        <w:numPr>
          <w:ilvl w:val="0"/>
          <w:numId w:val="3"/>
        </w:numPr>
        <w:tabs>
          <w:tab w:val="left" w:pos="1398"/>
          <w:tab w:val="left" w:pos="1399"/>
        </w:tabs>
        <w:spacing w:line="228" w:lineRule="auto"/>
        <w:ind w:right="683"/>
        <w:rPr>
          <w:sz w:val="16"/>
          <w:szCs w:val="18"/>
        </w:rPr>
      </w:pPr>
      <w:r w:rsidRPr="0011342F">
        <w:rPr>
          <w:sz w:val="16"/>
          <w:szCs w:val="18"/>
        </w:rPr>
        <w:t>Стойност строго в един контекст, като тези стойности след това се коригират за прехвърляне в други (подобни) контексти.</w:t>
      </w:r>
    </w:p>
    <w:p w14:paraId="43DE0EC6" w14:textId="77777777" w:rsidR="00205CD9" w:rsidRPr="0011342F" w:rsidRDefault="00205CD9">
      <w:pPr>
        <w:pStyle w:val="BodyText"/>
        <w:rPr>
          <w:sz w:val="18"/>
          <w:szCs w:val="16"/>
        </w:rPr>
      </w:pPr>
    </w:p>
    <w:p w14:paraId="43DE0EC7" w14:textId="77777777" w:rsidR="00205CD9" w:rsidRPr="0011342F" w:rsidRDefault="00735DDA">
      <w:pPr>
        <w:pStyle w:val="Heading2"/>
        <w:numPr>
          <w:ilvl w:val="0"/>
          <w:numId w:val="7"/>
        </w:numPr>
        <w:tabs>
          <w:tab w:val="left" w:pos="1530"/>
          <w:tab w:val="left" w:pos="1531"/>
        </w:tabs>
        <w:spacing w:before="1"/>
        <w:ind w:left="1530" w:hanging="853"/>
        <w:rPr>
          <w:sz w:val="16"/>
          <w:szCs w:val="16"/>
        </w:rPr>
      </w:pPr>
      <w:r w:rsidRPr="0011342F">
        <w:rPr>
          <w:sz w:val="16"/>
          <w:szCs w:val="16"/>
        </w:rPr>
        <w:t>СЪЗДАВАНЕ НА ПАЗАР В УПРАВЛЕНИЕТО НА БИОЛОГИЧНОТО РАЗНООБРАЗИЕ</w:t>
      </w:r>
    </w:p>
    <w:p w14:paraId="43DE0EC8" w14:textId="77777777" w:rsidR="00205CD9" w:rsidRPr="0011342F" w:rsidRDefault="00205CD9">
      <w:pPr>
        <w:pStyle w:val="BodyText"/>
        <w:spacing w:before="1"/>
        <w:rPr>
          <w:b/>
          <w:sz w:val="18"/>
          <w:szCs w:val="16"/>
        </w:rPr>
      </w:pPr>
    </w:p>
    <w:p w14:paraId="43DE0EC9" w14:textId="77777777" w:rsidR="00205CD9" w:rsidRPr="0011342F" w:rsidRDefault="00735DDA">
      <w:pPr>
        <w:pStyle w:val="BodyText"/>
        <w:ind w:left="678" w:right="674"/>
        <w:jc w:val="both"/>
        <w:rPr>
          <w:sz w:val="16"/>
          <w:szCs w:val="16"/>
        </w:rPr>
      </w:pPr>
      <w:r w:rsidRPr="0011342F">
        <w:rPr>
          <w:sz w:val="16"/>
          <w:szCs w:val="16"/>
        </w:rPr>
        <w:t>По същия начин, по който пазарните стимули действат за намаляване на неподходящия натиск върху свързаните с биологичното разнообразие ресурси, използването на пазарите в по-широк план може да допринесе за по-добро управление на биологичното разнообразие. Създаването на пазар работи чрез премахване на бариерите пред търговията, включително установяване и присвояване на добре дефинирани и стабилни права на собственост и/или потребителски права</w:t>
      </w:r>
      <w:r w:rsidRPr="0011342F">
        <w:rPr>
          <w:sz w:val="9"/>
          <w:szCs w:val="16"/>
        </w:rPr>
        <w:t>6</w:t>
      </w:r>
      <w:r w:rsidRPr="0011342F">
        <w:rPr>
          <w:sz w:val="16"/>
          <w:szCs w:val="16"/>
        </w:rPr>
        <w:t xml:space="preserve"> . Създаването на пазара се основава на предпоставката, че притежателите на тези права на собственост ще увеличат максимално стойността на своите ресурси с течение на времето, като по този начин оптимизират както нивото, така и разходите за използване, опазване и възстановяване на биологичното разнообразие. Накратко, създаването на пазар включва повече от използването на пазарни стимули.</w:t>
      </w:r>
    </w:p>
    <w:p w14:paraId="43DE0ECA" w14:textId="77777777" w:rsidR="00205CD9" w:rsidRPr="0011342F" w:rsidRDefault="00205CD9">
      <w:pPr>
        <w:pStyle w:val="BodyText"/>
        <w:spacing w:before="8"/>
        <w:rPr>
          <w:sz w:val="16"/>
          <w:szCs w:val="16"/>
        </w:rPr>
      </w:pPr>
    </w:p>
    <w:p w14:paraId="43DE0ECB" w14:textId="77777777" w:rsidR="00205CD9" w:rsidRPr="0011342F" w:rsidRDefault="00735DDA">
      <w:pPr>
        <w:pStyle w:val="BodyText"/>
        <w:ind w:left="678" w:right="674"/>
        <w:jc w:val="both"/>
        <w:rPr>
          <w:sz w:val="16"/>
          <w:szCs w:val="16"/>
        </w:rPr>
      </w:pPr>
      <w:r w:rsidRPr="0011342F">
        <w:rPr>
          <w:sz w:val="16"/>
          <w:szCs w:val="16"/>
        </w:rPr>
        <w:t xml:space="preserve">Правителствата имат две важни роли в подкрепата на пазарите за ресурси, свързани с биологичното разнообразие. Първо, те трябва да установят правилните рамкови условия, при които частните и публичните оператори могат ефективно да доставят на потребителите ресурси, свързани с биологичното разнообразие. Тази роля беше обсъдена по-рано (Раздел II). Второ, правителствата трябва да гарантират, че обществените стоки, свързани с биологичното разнообразие, се предоставят по възможно най-ефективния и ефикасен начин. Създаването на пазари предполага въвеждането на правилните правни/стимулиращи рамки за преодоляване на характеристики като </w:t>
      </w:r>
      <w:proofErr w:type="spellStart"/>
      <w:r w:rsidRPr="0011342F">
        <w:rPr>
          <w:i/>
          <w:sz w:val="16"/>
          <w:szCs w:val="16"/>
        </w:rPr>
        <w:t>неизключване</w:t>
      </w:r>
      <w:proofErr w:type="spellEnd"/>
      <w:r w:rsidRPr="0011342F">
        <w:rPr>
          <w:sz w:val="16"/>
          <w:szCs w:val="16"/>
        </w:rPr>
        <w:t xml:space="preserve"> и/или </w:t>
      </w:r>
      <w:proofErr w:type="spellStart"/>
      <w:r w:rsidRPr="0011342F">
        <w:rPr>
          <w:i/>
          <w:sz w:val="16"/>
          <w:szCs w:val="16"/>
        </w:rPr>
        <w:t>несъперничество</w:t>
      </w:r>
      <w:proofErr w:type="spellEnd"/>
      <w:r w:rsidRPr="0011342F">
        <w:rPr>
          <w:sz w:val="16"/>
          <w:szCs w:val="16"/>
        </w:rPr>
        <w:t xml:space="preserve"> в употреба, като и двете могат да направят обществените блага неподходящи за търговия на пазари — дори когато хората биха били готови да плащат за тях.</w:t>
      </w:r>
    </w:p>
    <w:p w14:paraId="43DE0ECC" w14:textId="77777777" w:rsidR="00205CD9" w:rsidRPr="0011342F" w:rsidRDefault="00205CD9">
      <w:pPr>
        <w:pStyle w:val="BodyText"/>
        <w:rPr>
          <w:sz w:val="18"/>
          <w:szCs w:val="16"/>
        </w:rPr>
      </w:pPr>
    </w:p>
    <w:p w14:paraId="43DE0ECD" w14:textId="77777777" w:rsidR="00205CD9" w:rsidRPr="0011342F" w:rsidRDefault="00735DDA">
      <w:pPr>
        <w:pStyle w:val="BodyText"/>
        <w:ind w:left="678" w:right="675"/>
        <w:jc w:val="both"/>
        <w:rPr>
          <w:sz w:val="16"/>
          <w:szCs w:val="16"/>
        </w:rPr>
      </w:pPr>
      <w:r w:rsidRPr="0011342F">
        <w:rPr>
          <w:sz w:val="16"/>
          <w:szCs w:val="16"/>
        </w:rPr>
        <w:t>Пазарите сами по себе си ще доведат до правилното количество употреба или опазване на свързаните с биологичното разнообразие ресурси, когато пазарът може да бъде направен така, че да отразява пълната (включително обществената) стойност на тези ресурси за обществото (и също когато всички нетърговски последици, свързани с тяхното използване, са напълно отразени в управленските решения). Следователно</w:t>
      </w:r>
      <w:r w:rsidRPr="0011342F">
        <w:rPr>
          <w:i/>
          <w:sz w:val="16"/>
          <w:szCs w:val="16"/>
        </w:rPr>
        <w:t xml:space="preserve"> създаването</w:t>
      </w:r>
      <w:r w:rsidRPr="0011342F">
        <w:rPr>
          <w:sz w:val="16"/>
          <w:szCs w:val="16"/>
        </w:rPr>
        <w:t xml:space="preserve"> на пазар за биоразнообразие е кулминацията на усилията за разработване на инструменти и рамки, които улавят обществените ценности. Появата на частни паркове в много региони на света показва, че има възможност за улавяне на обществени ценности на частните пазари. За тези паркове </w:t>
      </w:r>
      <w:r w:rsidRPr="0011342F">
        <w:rPr>
          <w:i/>
          <w:sz w:val="16"/>
          <w:szCs w:val="16"/>
        </w:rPr>
        <w:t>частната</w:t>
      </w:r>
      <w:r w:rsidRPr="0011342F">
        <w:rPr>
          <w:sz w:val="16"/>
          <w:szCs w:val="16"/>
        </w:rPr>
        <w:t xml:space="preserve"> стойност на тяхната уникалност е достатъчно висока, за да подкрепи публичните цели за биоразнообразие. Въпреки това, </w:t>
      </w:r>
      <w:r w:rsidRPr="0011342F">
        <w:rPr>
          <w:i/>
          <w:sz w:val="16"/>
          <w:szCs w:val="16"/>
        </w:rPr>
        <w:t>обществената</w:t>
      </w:r>
      <w:r w:rsidRPr="0011342F">
        <w:rPr>
          <w:sz w:val="16"/>
          <w:szCs w:val="16"/>
        </w:rPr>
        <w:t xml:space="preserve"> стойност на парковете обикновено ще бъде по-голяма от тези частни стойности. Икономическите инструменти, които могат да уловят някои от тези обществени ценности, могат да подобрят резултатите от биологичното разнообразие чрез разширяване на прилагането на пазарите.</w:t>
      </w:r>
    </w:p>
    <w:p w14:paraId="43DE0ECE" w14:textId="77777777" w:rsidR="00205CD9" w:rsidRPr="0011342F" w:rsidRDefault="00205CD9">
      <w:pPr>
        <w:pStyle w:val="BodyText"/>
        <w:spacing w:before="10"/>
        <w:rPr>
          <w:sz w:val="16"/>
          <w:szCs w:val="16"/>
        </w:rPr>
      </w:pPr>
    </w:p>
    <w:p w14:paraId="43DE0ECF" w14:textId="77777777" w:rsidR="00205CD9" w:rsidRPr="0011342F" w:rsidRDefault="00735DDA">
      <w:pPr>
        <w:pStyle w:val="BodyText"/>
        <w:ind w:left="678" w:right="675"/>
        <w:jc w:val="both"/>
        <w:rPr>
          <w:sz w:val="16"/>
          <w:szCs w:val="16"/>
        </w:rPr>
      </w:pPr>
      <w:r w:rsidRPr="0011342F">
        <w:rPr>
          <w:sz w:val="16"/>
          <w:szCs w:val="16"/>
        </w:rPr>
        <w:t xml:space="preserve">Има няколко специфични пазара, на които вече се осъществява дейност, съвместима с биологичното разнообразие, включително, </w:t>
      </w:r>
      <w:proofErr w:type="spellStart"/>
      <w:r w:rsidRPr="0011342F">
        <w:rPr>
          <w:i/>
          <w:sz w:val="16"/>
          <w:szCs w:val="16"/>
        </w:rPr>
        <w:t>inter</w:t>
      </w:r>
      <w:proofErr w:type="spellEnd"/>
      <w:r w:rsidRPr="0011342F">
        <w:rPr>
          <w:i/>
          <w:sz w:val="16"/>
          <w:szCs w:val="16"/>
        </w:rPr>
        <w:t xml:space="preserve"> </w:t>
      </w:r>
      <w:proofErr w:type="spellStart"/>
      <w:r w:rsidRPr="0011342F">
        <w:rPr>
          <w:i/>
          <w:sz w:val="16"/>
          <w:szCs w:val="16"/>
        </w:rPr>
        <w:t>alia</w:t>
      </w:r>
      <w:proofErr w:type="spellEnd"/>
      <w:r w:rsidRPr="0011342F">
        <w:rPr>
          <w:sz w:val="16"/>
          <w:szCs w:val="16"/>
        </w:rPr>
        <w:t>: биологично земеделие; устойчиво горско стопанство; недървесни горски продукти; генетични ресурси; и еко-туризъм. Два изключително успешни примера за създаване на пазар — свързани с управлението на ресурсите на биологичното разнообразие — където самите инструменти създават пазара и където връзката с икономическата политика е ясна, са:</w:t>
      </w:r>
    </w:p>
    <w:p w14:paraId="43DE0ED0" w14:textId="77777777" w:rsidR="00205CD9" w:rsidRPr="0011342F" w:rsidRDefault="00205CD9">
      <w:pPr>
        <w:pStyle w:val="BodyText"/>
        <w:spacing w:before="6"/>
        <w:rPr>
          <w:sz w:val="16"/>
          <w:szCs w:val="16"/>
        </w:rPr>
      </w:pPr>
    </w:p>
    <w:p w14:paraId="43DE0ED1" w14:textId="77777777" w:rsidR="00205CD9" w:rsidRPr="0011342F" w:rsidRDefault="00735DDA">
      <w:pPr>
        <w:pStyle w:val="ListParagraph"/>
        <w:numPr>
          <w:ilvl w:val="1"/>
          <w:numId w:val="7"/>
        </w:numPr>
        <w:tabs>
          <w:tab w:val="left" w:pos="1392"/>
        </w:tabs>
        <w:ind w:left="1391" w:right="675" w:hanging="356"/>
        <w:jc w:val="both"/>
        <w:rPr>
          <w:sz w:val="16"/>
          <w:szCs w:val="18"/>
        </w:rPr>
      </w:pPr>
      <w:r w:rsidRPr="0011342F">
        <w:rPr>
          <w:i/>
          <w:sz w:val="16"/>
          <w:szCs w:val="18"/>
        </w:rPr>
        <w:t>Търговия с достъп до права за риболов</w:t>
      </w:r>
      <w:r w:rsidRPr="0011342F">
        <w:rPr>
          <w:sz w:val="16"/>
          <w:szCs w:val="18"/>
        </w:rPr>
        <w:t xml:space="preserve"> — Правата на собственост понякога могат да бъдат възложени върху добива на търговски видове риба чрез индивидуални прехвърляеми квоти (ITQ). Пазарите се създават около ITQ, които могат да се прехвърлят от един рибар на друг — следователно тяхната стойност се свързва с потенциала им да генерират приходи за отделните рибари. За да запазят тази стойност във времето, притежателите на права ще се стремят да защитават природния ресурс, който е в основата ѝ (т.е. рибата и биологичното разнообразие, свързано с нея).</w:t>
      </w:r>
    </w:p>
    <w:p w14:paraId="43DE0ED2" w14:textId="77777777" w:rsidR="00205CD9" w:rsidRPr="0011342F" w:rsidRDefault="00735DDA">
      <w:pPr>
        <w:pStyle w:val="ListParagraph"/>
        <w:numPr>
          <w:ilvl w:val="1"/>
          <w:numId w:val="7"/>
        </w:numPr>
        <w:tabs>
          <w:tab w:val="left" w:pos="1392"/>
        </w:tabs>
        <w:spacing w:before="119"/>
        <w:ind w:left="1391" w:right="675" w:hanging="356"/>
        <w:jc w:val="both"/>
        <w:rPr>
          <w:sz w:val="16"/>
          <w:szCs w:val="18"/>
        </w:rPr>
      </w:pPr>
      <w:r w:rsidRPr="0011342F">
        <w:rPr>
          <w:i/>
          <w:sz w:val="16"/>
          <w:szCs w:val="18"/>
        </w:rPr>
        <w:t>Прехвърляеми права за развитие</w:t>
      </w:r>
      <w:r w:rsidRPr="0011342F">
        <w:rPr>
          <w:sz w:val="16"/>
          <w:szCs w:val="18"/>
        </w:rPr>
        <w:t xml:space="preserve"> (TDR) — TDR включват </w:t>
      </w:r>
      <w:r w:rsidRPr="0011342F">
        <w:rPr>
          <w:i/>
          <w:sz w:val="16"/>
          <w:szCs w:val="18"/>
        </w:rPr>
        <w:t>частични</w:t>
      </w:r>
      <w:r w:rsidRPr="0011342F">
        <w:rPr>
          <w:sz w:val="16"/>
          <w:szCs w:val="18"/>
        </w:rPr>
        <w:t xml:space="preserve"> прехвърляния на права за ползване на земя: прехвърляния, които в контекста на управление на биологичното разнообразие ограничават дейностите върху екологично чувствителни частни земи. Те могат да включват ограничения върху развитието, може би чрез прилагане на законово</w:t>
      </w:r>
    </w:p>
    <w:p w14:paraId="43DE0ED3" w14:textId="77777777" w:rsidR="00205CD9" w:rsidRDefault="00205CD9">
      <w:pPr>
        <w:jc w:val="both"/>
        <w:rPr>
          <w:sz w:val="20"/>
        </w:rPr>
        <w:sectPr w:rsidR="00205CD9">
          <w:pgSz w:w="12240" w:h="15840"/>
          <w:pgMar w:top="500" w:right="740" w:bottom="0" w:left="740" w:header="720" w:footer="720" w:gutter="0"/>
          <w:cols w:space="720"/>
        </w:sectPr>
      </w:pPr>
    </w:p>
    <w:p w14:paraId="7DBCA6D5" w14:textId="77777777" w:rsidR="00D77E85" w:rsidRDefault="00735DDA" w:rsidP="00D77E85">
      <w:pPr>
        <w:pStyle w:val="BodyText"/>
        <w:spacing w:line="180" w:lineRule="exact"/>
        <w:ind w:left="1391"/>
      </w:pPr>
      <w:r>
        <w:lastRenderedPageBreak/>
        <w:t>обвързващи договори за собственост или планове за управление на земята, на които може да се основават</w:t>
      </w:r>
      <w:r w:rsidR="0011342F">
        <w:t xml:space="preserve"> </w:t>
      </w:r>
      <w:r w:rsidR="00D77E85">
        <w:rPr>
          <w:color w:val="2B2A29"/>
        </w:rPr>
        <w:t>целите за управление на биологичното разнообразие</w:t>
      </w:r>
      <w:r w:rsidR="00D77E85">
        <w:t>.</w:t>
      </w:r>
      <w:r w:rsidR="00D77E85">
        <w:rPr>
          <w:u w:val="single" w:color="2A2928"/>
        </w:rPr>
        <w:t xml:space="preserve">  </w:t>
      </w:r>
      <w:r w:rsidR="00D77E85">
        <w:t>Ползите за биологичното разнообразие идват от ограниченията, които са наложени, докато повишаването на ефективността е резултат от упражняването на ограничените права за развитие</w:t>
      </w:r>
    </w:p>
    <w:p w14:paraId="49592C8B" w14:textId="77777777" w:rsidR="00D77E85" w:rsidRDefault="00D77E85" w:rsidP="00D77E85">
      <w:pPr>
        <w:pStyle w:val="BodyText"/>
        <w:ind w:left="1391"/>
      </w:pPr>
      <w:r>
        <w:t>чрез най-икономично използване.</w:t>
      </w:r>
    </w:p>
    <w:p w14:paraId="43DE0ED5" w14:textId="5532DE6E" w:rsidR="00205CD9" w:rsidRDefault="00735DDA" w:rsidP="006A79E8">
      <w:pPr>
        <w:pStyle w:val="BodyText"/>
        <w:tabs>
          <w:tab w:val="left" w:pos="1391"/>
          <w:tab w:val="left" w:pos="10439"/>
        </w:tabs>
        <w:spacing w:before="31" w:line="156" w:lineRule="auto"/>
        <w:ind w:left="110" w:firstLine="8080"/>
        <w:rPr>
          <w:b/>
        </w:rPr>
      </w:pPr>
      <w:r>
        <w:t xml:space="preserve">OECD/LEGAL/0326 </w:t>
      </w:r>
      <w:r>
        <w:tab/>
      </w:r>
      <w:r>
        <w:rPr>
          <w:b/>
          <w:color w:val="2B2A29"/>
        </w:rPr>
        <w:t>11</w:t>
      </w:r>
    </w:p>
    <w:p w14:paraId="43DE0ED8" w14:textId="64FF9BBF" w:rsidR="00205CD9" w:rsidRDefault="00200785" w:rsidP="0011342F">
      <w:pPr>
        <w:pStyle w:val="BodyText"/>
        <w:spacing w:line="180" w:lineRule="exact"/>
        <w:ind w:left="1391"/>
      </w:pPr>
      <w:r>
        <w:pict w14:anchorId="43DE0F0E">
          <v:line id="_x0000_s1030" style="position:absolute;left:0;text-align:left;z-index:-15945728;mso-position-horizontal-relative:page" from="400pt,2.2pt" to="411.1pt,2.2pt" strokecolor="#2a2928" strokeweight=".63pt">
            <w10:wrap anchorx="page"/>
          </v:line>
        </w:pict>
      </w:r>
      <w:r>
        <w:pict w14:anchorId="43DE0F0F">
          <v:shape id="_x0000_s1029" style="position:absolute;left:0;text-align:left;margin-left:416.5pt;margin-top:2.2pt;width:38.6pt;height:.1pt;z-index:-15945216;mso-position-horizontal-relative:page" coordorigin="8330,44" coordsize="772,0" o:spt="100" adj="0,,0" path="m8330,44r332,m8660,44r442,e" filled="f" strokecolor="#2a2928" strokeweight=".63pt">
            <v:stroke joinstyle="round"/>
            <v:formulas/>
            <v:path arrowok="t" o:connecttype="segments"/>
            <w10:wrap anchorx="page"/>
          </v:shape>
        </w:pict>
      </w:r>
      <w:r>
        <w:pict w14:anchorId="43DE0F10">
          <v:line id="_x0000_s1028" style="position:absolute;left:0;text-align:left;z-index:-15944704;mso-position-horizontal-relative:page" from="488pt,2.2pt" to="499.1pt,2.2pt" strokecolor="#2a2928" strokeweight=".63pt">
            <w10:wrap anchorx="page"/>
          </v:line>
        </w:pict>
      </w:r>
      <w:r>
        <w:pict w14:anchorId="43DE0F11">
          <v:line id="_x0000_s1027" style="position:absolute;left:0;text-align:left;z-index:-15944192;mso-position-horizontal-relative:page" from="537.5pt,2.2pt" to="554.1pt,2.2pt" strokecolor="#2a2928" strokeweight=".63pt">
            <w10:wrap anchorx="page"/>
          </v:line>
        </w:pict>
      </w:r>
    </w:p>
    <w:p w14:paraId="43DE0ED9" w14:textId="77777777" w:rsidR="00205CD9" w:rsidRPr="00200785" w:rsidRDefault="00735DDA">
      <w:pPr>
        <w:pStyle w:val="BodyText"/>
        <w:spacing w:before="1"/>
        <w:ind w:left="678" w:right="679"/>
        <w:jc w:val="both"/>
        <w:rPr>
          <w:sz w:val="18"/>
          <w:szCs w:val="18"/>
        </w:rPr>
      </w:pPr>
      <w:r w:rsidRPr="00200785">
        <w:rPr>
          <w:sz w:val="18"/>
          <w:szCs w:val="18"/>
        </w:rPr>
        <w:t>Пазарите също ще трябва да бъдат наблюдавани и дори ръководени, за да се гарантира, че водят до нетни ползи за обществото като цяло. Например, търговията с (незаконни) продукти от застрашени видове подчертава потенциалните неблагоприятни последици от пазарите, които не отчитат обществените ценности и външни ефекти.</w:t>
      </w:r>
    </w:p>
    <w:p w14:paraId="43DE0EDA" w14:textId="77777777" w:rsidR="00205CD9" w:rsidRPr="00200785" w:rsidRDefault="00205CD9">
      <w:pPr>
        <w:pStyle w:val="BodyText"/>
        <w:spacing w:before="8"/>
        <w:rPr>
          <w:sz w:val="18"/>
          <w:szCs w:val="18"/>
        </w:rPr>
      </w:pPr>
    </w:p>
    <w:p w14:paraId="43DE0EDB" w14:textId="77777777" w:rsidR="00205CD9" w:rsidRPr="00200785" w:rsidRDefault="00735DDA">
      <w:pPr>
        <w:pStyle w:val="BodyText"/>
        <w:spacing w:before="1"/>
        <w:ind w:left="678" w:right="674"/>
        <w:jc w:val="both"/>
        <w:rPr>
          <w:sz w:val="18"/>
          <w:szCs w:val="18"/>
        </w:rPr>
      </w:pPr>
      <w:r w:rsidRPr="00200785">
        <w:rPr>
          <w:sz w:val="18"/>
          <w:szCs w:val="18"/>
        </w:rPr>
        <w:t xml:space="preserve">Липсата на подходяща </w:t>
      </w:r>
      <w:r w:rsidRPr="00200785">
        <w:rPr>
          <w:i/>
          <w:sz w:val="18"/>
          <w:szCs w:val="18"/>
        </w:rPr>
        <w:t>информация</w:t>
      </w:r>
      <w:r w:rsidRPr="00200785">
        <w:rPr>
          <w:sz w:val="18"/>
          <w:szCs w:val="18"/>
        </w:rPr>
        <w:t xml:space="preserve"> може да попречи на разработването и прилагането на пазарни подходи за опазване, използване и възстановяване на биологичното разнообразие. Информацията може да бъде предоставена чрез такива механизми като етикетиране, сертифициране, пряко предоставяне на информация, изграждане на технически капацитет и т.н. Предоставянето на информация е важна част от основата, която позволява на мерките за стимулиране да работят ефективно и ефикасно, като по този начин подкрепят създаването на пазари. Научните познания са важна част от тази информационна функция, така че правителствата трябва да разработят политики, които създават правилните условия за възникване на нови знания, свързани с опазването на биологичното разнообразие. Информационните активи, които понастоящем се поддържат в бази данни, също трябва да бъдат напълно използвани в подкрепа на целите за опазване и управление на биологичното разнообразие. Тази експлоатация може да се разшири и до разработването на индикатори за мониторинг на промяната на биологичното разнообразие (тенденции и модели), които могат да се използват за оценка на изпълнението на политиките и за актуализиране на съществуващите политики.</w:t>
      </w:r>
    </w:p>
    <w:p w14:paraId="43DE0EDC" w14:textId="77777777" w:rsidR="00205CD9" w:rsidRPr="00200785" w:rsidRDefault="00205CD9">
      <w:pPr>
        <w:pStyle w:val="BodyText"/>
        <w:spacing w:before="10"/>
        <w:rPr>
          <w:sz w:val="18"/>
          <w:szCs w:val="18"/>
        </w:rPr>
      </w:pPr>
    </w:p>
    <w:p w14:paraId="43DE0EDD" w14:textId="77777777" w:rsidR="00205CD9" w:rsidRPr="00200785" w:rsidRDefault="00735DDA">
      <w:pPr>
        <w:pStyle w:val="BodyText"/>
        <w:ind w:left="678" w:right="674"/>
        <w:jc w:val="both"/>
        <w:rPr>
          <w:sz w:val="18"/>
          <w:szCs w:val="18"/>
        </w:rPr>
      </w:pPr>
      <w:r w:rsidRPr="00200785">
        <w:rPr>
          <w:sz w:val="18"/>
          <w:szCs w:val="18"/>
        </w:rPr>
        <w:t xml:space="preserve">Активното </w:t>
      </w:r>
      <w:r w:rsidRPr="00200785">
        <w:rPr>
          <w:i/>
          <w:sz w:val="18"/>
          <w:szCs w:val="18"/>
        </w:rPr>
        <w:t>ангажиране на заинтересованите страни</w:t>
      </w:r>
      <w:r w:rsidRPr="00200785">
        <w:rPr>
          <w:sz w:val="18"/>
          <w:szCs w:val="18"/>
        </w:rPr>
        <w:t xml:space="preserve"> в разработването и прилагането на политиките за управление на биологичното разнообразие също са важен ключ към успеха на политиките за създаване на пазара. Поради това следва да се установят институционални механизми, за да се осигури подходящо ниво на ангажираност със заинтересованите страни при вземането на ключови решения, засягащи ресурсите, свързани с биологичното разнообразие. Мрежите на местните общности, които идентифицират и подкрепят местните цели за биоразнообразие, могат да дадат важен принос в това отношение. Както в случая с предоставянето на информация, ранното ангажиране на заинтересованите страни е важна част от процеса на създаване на пазара.</w:t>
      </w:r>
    </w:p>
    <w:p w14:paraId="43DE0EDE" w14:textId="77777777" w:rsidR="00205CD9" w:rsidRPr="00200785" w:rsidRDefault="00205CD9">
      <w:pPr>
        <w:pStyle w:val="BodyText"/>
        <w:spacing w:before="10"/>
        <w:rPr>
          <w:sz w:val="18"/>
          <w:szCs w:val="18"/>
        </w:rPr>
      </w:pPr>
    </w:p>
    <w:p w14:paraId="43DE0EDF" w14:textId="77777777" w:rsidR="00205CD9" w:rsidRPr="00200785" w:rsidRDefault="00735DDA">
      <w:pPr>
        <w:pStyle w:val="BodyText"/>
        <w:spacing w:before="1"/>
        <w:ind w:left="678" w:right="675"/>
        <w:jc w:val="both"/>
        <w:rPr>
          <w:sz w:val="18"/>
          <w:szCs w:val="18"/>
        </w:rPr>
      </w:pPr>
      <w:r w:rsidRPr="00200785">
        <w:rPr>
          <w:i/>
          <w:sz w:val="18"/>
          <w:szCs w:val="18"/>
        </w:rPr>
        <w:t>Специализираните фондове</w:t>
      </w:r>
      <w:r w:rsidRPr="00200785">
        <w:rPr>
          <w:sz w:val="18"/>
          <w:szCs w:val="18"/>
        </w:rPr>
        <w:t xml:space="preserve"> за целите на управлението на биологичното разнообразие могат да се възползват от нарастваща група от глобални спестявания, които търсят „екологични“ инвестиционни възможности. Те са част от нарастващото развитие на иновативни „зелени“ подходи за финансиране и финансови механизми. Примерите включват фондове за рисков капитал, които са насочени към стартиращи фирми, свързани с околната среда; взаимни фондове, които инвестират във фирми със "зелена" харта; фондове за социално участие; и участието на местни банки във финансирането на проекти за устойчиво използване на ресурсите. Политики за повишаване на ролята на финансовите пазари в устойчивото използване на биологичното разнообразие подкрепят (и създават) пазари, като позволяват на тези фондове да търсят по-ефективно печеливши възможности.</w:t>
      </w:r>
    </w:p>
    <w:p w14:paraId="43DE0EE0" w14:textId="77777777" w:rsidR="00205CD9" w:rsidRPr="00200785" w:rsidRDefault="00205CD9">
      <w:pPr>
        <w:pStyle w:val="BodyText"/>
        <w:spacing w:before="10"/>
        <w:rPr>
          <w:sz w:val="18"/>
          <w:szCs w:val="18"/>
        </w:rPr>
      </w:pPr>
    </w:p>
    <w:p w14:paraId="43DE0EE1" w14:textId="77777777" w:rsidR="00205CD9" w:rsidRPr="00200785" w:rsidRDefault="00735DDA">
      <w:pPr>
        <w:pStyle w:val="BodyText"/>
        <w:ind w:left="678" w:right="676"/>
        <w:jc w:val="both"/>
        <w:rPr>
          <w:sz w:val="18"/>
          <w:szCs w:val="18"/>
        </w:rPr>
      </w:pPr>
      <w:r w:rsidRPr="00200785">
        <w:rPr>
          <w:sz w:val="18"/>
          <w:szCs w:val="18"/>
        </w:rPr>
        <w:t>Използването на капиталови пазари за разпределяне на тези средства за целите на биологичното разнообразие повишава общата ефективност и ефикасност на процеса на управление. Специализираните познания, въплътени в местните клонове на местните пазари, съчетани с националното и международно покритие на някои финансови институции, позволяват на спестяванията в един регион да намерят своя път до други места, където могат да бъдат използвани най-изгодно – като по този начин допринасят за създаването на пазари за биоразнообразие. Освен това, използването на капиталови пазари ще позволи преодоляване на местните ограничения във финансовите ресурси (които може да са особено остри в страните, които не са членки).</w:t>
      </w:r>
    </w:p>
    <w:p w14:paraId="43DE0EE3" w14:textId="3C3CBC65" w:rsidR="00205CD9" w:rsidRPr="00200785" w:rsidRDefault="00200785" w:rsidP="001E586A">
      <w:pPr>
        <w:pStyle w:val="BodyText"/>
        <w:rPr>
          <w:sz w:val="16"/>
          <w:szCs w:val="18"/>
        </w:rPr>
      </w:pPr>
      <w:r w:rsidRPr="00200785">
        <w:rPr>
          <w:sz w:val="18"/>
          <w:szCs w:val="18"/>
        </w:rPr>
        <w:pict w14:anchorId="43DE0F12">
          <v:rect id="_x0000_s1026" style="position:absolute;margin-left:70.95pt;margin-top:17.5pt;width:2in;height:.35pt;z-index:-15721472;mso-wrap-distance-left:0;mso-wrap-distance-right:0;mso-position-horizontal-relative:page" fillcolor="black" stroked="f">
            <w10:wrap type="topAndBottom" anchorx="page"/>
          </v:rect>
        </w:pict>
      </w:r>
      <w:r w:rsidR="00735DDA" w:rsidRPr="00200785">
        <w:rPr>
          <w:sz w:val="10"/>
          <w:szCs w:val="18"/>
        </w:rPr>
        <w:t>1</w:t>
      </w:r>
      <w:r w:rsidR="00735DDA" w:rsidRPr="00200785">
        <w:rPr>
          <w:sz w:val="18"/>
          <w:szCs w:val="18"/>
        </w:rPr>
        <w:tab/>
      </w:r>
      <w:r w:rsidR="00735DDA" w:rsidRPr="00200785">
        <w:rPr>
          <w:sz w:val="16"/>
          <w:szCs w:val="18"/>
        </w:rPr>
        <w:t>Възстановяването на влошени ресурси, свързани с биологичното разнообразие, когато е оправдано, също е напълно съвместимо с постигането на целите на настоящата препоръка.</w:t>
      </w:r>
    </w:p>
    <w:p w14:paraId="43DE0EE4" w14:textId="77777777" w:rsidR="00205CD9" w:rsidRPr="00200785" w:rsidRDefault="00735DDA">
      <w:pPr>
        <w:tabs>
          <w:tab w:val="left" w:pos="1530"/>
        </w:tabs>
        <w:spacing w:before="118"/>
        <w:ind w:left="1530" w:right="685" w:hanging="852"/>
        <w:rPr>
          <w:sz w:val="16"/>
          <w:szCs w:val="20"/>
        </w:rPr>
      </w:pPr>
      <w:r w:rsidRPr="00200785">
        <w:rPr>
          <w:sz w:val="10"/>
          <w:szCs w:val="20"/>
        </w:rPr>
        <w:t>2</w:t>
      </w:r>
      <w:r w:rsidRPr="00200785">
        <w:rPr>
          <w:sz w:val="20"/>
          <w:szCs w:val="20"/>
        </w:rPr>
        <w:t xml:space="preserve"> </w:t>
      </w:r>
      <w:r w:rsidRPr="00200785">
        <w:rPr>
          <w:sz w:val="16"/>
          <w:szCs w:val="20"/>
        </w:rPr>
        <w:t>Терминът “нетни ползи” се използва тук, за да опише перспективата на благосъстоянието (включително екологично, икономическо и социално благосъстояние).</w:t>
      </w:r>
    </w:p>
    <w:p w14:paraId="43DE0EE5" w14:textId="77777777" w:rsidR="00205CD9" w:rsidRPr="00200785" w:rsidRDefault="00735DDA">
      <w:pPr>
        <w:tabs>
          <w:tab w:val="left" w:pos="1530"/>
        </w:tabs>
        <w:spacing w:before="115"/>
        <w:ind w:left="1530" w:right="685" w:hanging="852"/>
        <w:rPr>
          <w:sz w:val="16"/>
          <w:szCs w:val="20"/>
        </w:rPr>
      </w:pPr>
      <w:r w:rsidRPr="00200785">
        <w:rPr>
          <w:sz w:val="10"/>
          <w:szCs w:val="20"/>
        </w:rPr>
        <w:t>3</w:t>
      </w:r>
      <w:r w:rsidRPr="00200785">
        <w:rPr>
          <w:sz w:val="20"/>
          <w:szCs w:val="20"/>
        </w:rPr>
        <w:t xml:space="preserve"> </w:t>
      </w:r>
      <w:r w:rsidRPr="00200785">
        <w:rPr>
          <w:sz w:val="16"/>
          <w:szCs w:val="20"/>
        </w:rPr>
        <w:t>Икономическите инструменти се използват тук в широк смисъл, за да включват всички инструменти, които променят стимулите, пред които са изправени индивидите за предприемане на конкретни действия.</w:t>
      </w:r>
    </w:p>
    <w:p w14:paraId="43DE0EE6" w14:textId="77777777" w:rsidR="00205CD9" w:rsidRPr="00200785" w:rsidRDefault="00735DDA">
      <w:pPr>
        <w:tabs>
          <w:tab w:val="left" w:pos="1530"/>
        </w:tabs>
        <w:spacing w:before="117"/>
        <w:ind w:left="1530" w:right="673" w:hanging="852"/>
        <w:jc w:val="both"/>
        <w:rPr>
          <w:sz w:val="16"/>
          <w:szCs w:val="20"/>
        </w:rPr>
      </w:pPr>
      <w:r w:rsidRPr="00200785">
        <w:rPr>
          <w:sz w:val="10"/>
          <w:szCs w:val="20"/>
        </w:rPr>
        <w:t>4</w:t>
      </w:r>
      <w:r w:rsidRPr="00200785">
        <w:rPr>
          <w:sz w:val="20"/>
          <w:szCs w:val="20"/>
        </w:rPr>
        <w:t xml:space="preserve"> </w:t>
      </w:r>
      <w:r w:rsidRPr="00200785">
        <w:rPr>
          <w:sz w:val="16"/>
          <w:szCs w:val="20"/>
        </w:rPr>
        <w:t xml:space="preserve">Съображенията, изложени в това приложение, се основават на прегледи на опита на страните-членки с икономическите подходи за управление на биологичното разнообразие, както и на различни рамки за управление на биологичното разнообразие, разработени от Работната група по икономическите аспекти на биологичното разнообразие (WGEAB). Допълнителни подробности могат да бъдат намерени в публикациите на Групата, по-специално в: ОИСР (1999), </w:t>
      </w:r>
      <w:r w:rsidRPr="00200785">
        <w:rPr>
          <w:i/>
          <w:sz w:val="16"/>
          <w:szCs w:val="20"/>
        </w:rPr>
        <w:t>Наръчник за насърчителни мерки за биоразнообразие: Проектиране и изпълнение</w:t>
      </w:r>
      <w:r w:rsidRPr="00200785">
        <w:rPr>
          <w:sz w:val="16"/>
          <w:szCs w:val="20"/>
        </w:rPr>
        <w:t xml:space="preserve">; ОИСР (2002), </w:t>
      </w:r>
      <w:r w:rsidRPr="00200785">
        <w:rPr>
          <w:i/>
          <w:sz w:val="16"/>
          <w:szCs w:val="20"/>
        </w:rPr>
        <w:t xml:space="preserve">Наръчник за оценка на биологичното разнообразие: Ръководство за </w:t>
      </w:r>
      <w:r w:rsidRPr="00200785">
        <w:rPr>
          <w:i/>
          <w:iCs/>
          <w:sz w:val="16"/>
          <w:szCs w:val="20"/>
        </w:rPr>
        <w:t>политици</w:t>
      </w:r>
      <w:r w:rsidRPr="00200785">
        <w:rPr>
          <w:sz w:val="16"/>
          <w:szCs w:val="20"/>
        </w:rPr>
        <w:t xml:space="preserve">; ОИСР (2003), </w:t>
      </w:r>
      <w:r w:rsidRPr="00200785">
        <w:rPr>
          <w:i/>
          <w:sz w:val="16"/>
          <w:szCs w:val="20"/>
        </w:rPr>
        <w:t>Използване на пазарите за биологично разнообразие: Към опазване и устойчиво използване</w:t>
      </w:r>
      <w:r w:rsidRPr="00200785">
        <w:rPr>
          <w:sz w:val="16"/>
          <w:szCs w:val="20"/>
        </w:rPr>
        <w:t xml:space="preserve">; и ОИСР (предстояща 2004 г.), </w:t>
      </w:r>
      <w:r w:rsidRPr="00200785">
        <w:rPr>
          <w:i/>
          <w:sz w:val="16"/>
          <w:szCs w:val="20"/>
        </w:rPr>
        <w:t>Наръчник за създаване на пазар за биологично разнообразие</w:t>
      </w:r>
      <w:r w:rsidRPr="00200785">
        <w:rPr>
          <w:sz w:val="16"/>
          <w:szCs w:val="20"/>
        </w:rPr>
        <w:t xml:space="preserve"> (работно заглавие).</w:t>
      </w:r>
    </w:p>
    <w:p w14:paraId="43DE0EE7" w14:textId="77777777" w:rsidR="00205CD9" w:rsidRPr="00200785" w:rsidRDefault="00735DDA">
      <w:pPr>
        <w:tabs>
          <w:tab w:val="left" w:pos="1530"/>
        </w:tabs>
        <w:spacing w:before="114"/>
        <w:ind w:left="1530" w:right="685" w:hanging="852"/>
        <w:rPr>
          <w:sz w:val="16"/>
          <w:szCs w:val="20"/>
        </w:rPr>
      </w:pPr>
      <w:r w:rsidRPr="00200785">
        <w:rPr>
          <w:sz w:val="10"/>
          <w:szCs w:val="20"/>
        </w:rPr>
        <w:t>5</w:t>
      </w:r>
      <w:r w:rsidRPr="00200785">
        <w:rPr>
          <w:sz w:val="20"/>
          <w:szCs w:val="20"/>
        </w:rPr>
        <w:t xml:space="preserve"> </w:t>
      </w:r>
      <w:r w:rsidRPr="00200785">
        <w:rPr>
          <w:sz w:val="16"/>
          <w:szCs w:val="20"/>
        </w:rPr>
        <w:t>Работата на WGEAB, която е в основата на тази препоръка, също беше подробно спомената в Решение V1/15 (Приложение 1) на Конференцията на страните по CBD.</w:t>
      </w:r>
    </w:p>
    <w:p w14:paraId="43DE0EE8" w14:textId="77777777" w:rsidR="00205CD9" w:rsidRDefault="00735DDA">
      <w:pPr>
        <w:tabs>
          <w:tab w:val="left" w:pos="1530"/>
        </w:tabs>
        <w:spacing w:before="116"/>
        <w:ind w:left="1530" w:right="685" w:hanging="852"/>
        <w:rPr>
          <w:sz w:val="18"/>
        </w:rPr>
      </w:pPr>
      <w:r w:rsidRPr="00200785">
        <w:rPr>
          <w:sz w:val="10"/>
          <w:szCs w:val="20"/>
        </w:rPr>
        <w:t>6</w:t>
      </w:r>
      <w:r w:rsidRPr="00200785">
        <w:rPr>
          <w:sz w:val="20"/>
          <w:szCs w:val="20"/>
        </w:rPr>
        <w:t xml:space="preserve"> Тук се приема, че</w:t>
      </w:r>
      <w:r w:rsidRPr="00200785">
        <w:rPr>
          <w:i/>
          <w:sz w:val="16"/>
          <w:szCs w:val="20"/>
        </w:rPr>
        <w:t xml:space="preserve"> правата на собственост</w:t>
      </w:r>
      <w:r w:rsidRPr="00200785">
        <w:rPr>
          <w:sz w:val="16"/>
          <w:szCs w:val="20"/>
        </w:rPr>
        <w:t xml:space="preserve"> включват дори ограничени права, като сервитути върху недвижими имоти, които ограничават използването на собствеността.</w:t>
      </w:r>
    </w:p>
    <w:p w14:paraId="43DE0EE9" w14:textId="77777777" w:rsidR="00205CD9" w:rsidRDefault="00205CD9">
      <w:pPr>
        <w:rPr>
          <w:sz w:val="18"/>
        </w:rPr>
        <w:sectPr w:rsidR="00205CD9">
          <w:pgSz w:w="12240" w:h="15840"/>
          <w:pgMar w:top="500" w:right="740" w:bottom="0" w:left="740" w:header="720" w:footer="720" w:gutter="0"/>
          <w:cols w:space="720"/>
        </w:sectPr>
      </w:pPr>
    </w:p>
    <w:p w14:paraId="43DE0EEA" w14:textId="77777777" w:rsidR="00205CD9" w:rsidRDefault="00735DDA">
      <w:pPr>
        <w:pStyle w:val="Heading1"/>
      </w:pPr>
      <w:bookmarkStart w:id="0" w:name="About_the_OECD"/>
      <w:bookmarkEnd w:id="0"/>
      <w:r>
        <w:rPr>
          <w:color w:val="1F4679"/>
        </w:rPr>
        <w:lastRenderedPageBreak/>
        <w:t>Относно ОИСР</w:t>
      </w:r>
    </w:p>
    <w:p w14:paraId="43DE0EEB" w14:textId="77777777" w:rsidR="00205CD9" w:rsidRDefault="00205CD9">
      <w:pPr>
        <w:pStyle w:val="BodyText"/>
        <w:spacing w:before="5"/>
        <w:rPr>
          <w:b/>
          <w:sz w:val="21"/>
        </w:rPr>
      </w:pPr>
    </w:p>
    <w:p w14:paraId="43DE0EEC" w14:textId="77777777" w:rsidR="00205CD9" w:rsidRDefault="00735DDA">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43DE0EED" w14:textId="77777777" w:rsidR="00205CD9" w:rsidRDefault="00205CD9">
      <w:pPr>
        <w:pStyle w:val="BodyText"/>
        <w:spacing w:before="10"/>
      </w:pPr>
    </w:p>
    <w:p w14:paraId="43DE0EEE" w14:textId="77777777" w:rsidR="00205CD9" w:rsidRDefault="00735DDA">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43DE0EEF" w14:textId="77777777" w:rsidR="00205CD9" w:rsidRDefault="00205CD9">
      <w:pPr>
        <w:pStyle w:val="BodyText"/>
        <w:rPr>
          <w:sz w:val="22"/>
        </w:rPr>
      </w:pPr>
    </w:p>
    <w:p w14:paraId="43DE0EF0" w14:textId="77777777" w:rsidR="00205CD9" w:rsidRDefault="00735DDA">
      <w:pPr>
        <w:pStyle w:val="Heading1"/>
        <w:spacing w:before="141"/>
      </w:pPr>
      <w:bookmarkStart w:id="1" w:name="OECD_Legal_Instruments"/>
      <w:bookmarkEnd w:id="1"/>
      <w:r>
        <w:rPr>
          <w:color w:val="1F4679"/>
        </w:rPr>
        <w:t>Правни инструменти на ОИСР</w:t>
      </w:r>
    </w:p>
    <w:p w14:paraId="43DE0EF1" w14:textId="77777777" w:rsidR="00205CD9" w:rsidRDefault="00205CD9">
      <w:pPr>
        <w:pStyle w:val="BodyText"/>
        <w:spacing w:before="7"/>
        <w:rPr>
          <w:b/>
          <w:sz w:val="21"/>
        </w:rPr>
      </w:pPr>
    </w:p>
    <w:p w14:paraId="43DE0EF2" w14:textId="77777777" w:rsidR="00205CD9" w:rsidRDefault="00735DDA">
      <w:pPr>
        <w:pStyle w:val="BodyText"/>
        <w:ind w:left="116" w:right="150"/>
        <w:jc w:val="both"/>
      </w:pPr>
      <w:r>
        <w:t xml:space="preserve">От създаването на ОИСР през 1961 г. в рамките на ОИСР са разработени около 460 </w:t>
      </w:r>
      <w:proofErr w:type="spellStart"/>
      <w:r>
        <w:t>материалноправни</w:t>
      </w:r>
      <w:proofErr w:type="spellEnd"/>
      <w:r>
        <w:t xml:space="preserve">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43DE0EF3" w14:textId="77777777" w:rsidR="00205CD9" w:rsidRDefault="00205CD9">
      <w:pPr>
        <w:pStyle w:val="BodyText"/>
        <w:spacing w:before="10"/>
      </w:pPr>
    </w:p>
    <w:p w14:paraId="43DE0EF4" w14:textId="77777777" w:rsidR="00205CD9" w:rsidRDefault="00735DDA">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43DE0EF5" w14:textId="77777777" w:rsidR="00205CD9" w:rsidRDefault="00205CD9">
      <w:pPr>
        <w:pStyle w:val="BodyText"/>
        <w:spacing w:before="8"/>
        <w:rPr>
          <w:sz w:val="18"/>
        </w:rPr>
      </w:pPr>
    </w:p>
    <w:p w14:paraId="43DE0EF6" w14:textId="77777777" w:rsidR="00205CD9" w:rsidRDefault="00735DDA">
      <w:pPr>
        <w:pStyle w:val="ListParagraph"/>
        <w:numPr>
          <w:ilvl w:val="0"/>
          <w:numId w:val="2"/>
        </w:numPr>
        <w:tabs>
          <w:tab w:val="left" w:pos="853"/>
        </w:tabs>
        <w:spacing w:line="244" w:lineRule="auto"/>
        <w:ind w:right="110"/>
        <w:jc w:val="both"/>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43DE0EF7" w14:textId="77777777" w:rsidR="00205CD9" w:rsidRDefault="00735DDA">
      <w:pPr>
        <w:pStyle w:val="ListParagraph"/>
        <w:numPr>
          <w:ilvl w:val="0"/>
          <w:numId w:val="2"/>
        </w:numPr>
        <w:tabs>
          <w:tab w:val="left" w:pos="853"/>
        </w:tabs>
        <w:spacing w:before="197" w:line="244" w:lineRule="auto"/>
        <w:ind w:right="105"/>
        <w:jc w:val="both"/>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страни ще направят всичко възможно, за да ги изпълнят.</w:t>
      </w:r>
    </w:p>
    <w:p w14:paraId="43DE0EF8" w14:textId="77777777" w:rsidR="00205CD9" w:rsidRDefault="00735DDA">
      <w:pPr>
        <w:pStyle w:val="ListParagraph"/>
        <w:numPr>
          <w:ilvl w:val="0"/>
          <w:numId w:val="2"/>
        </w:numPr>
        <w:tabs>
          <w:tab w:val="left" w:pos="853"/>
        </w:tabs>
        <w:spacing w:before="197" w:line="244" w:lineRule="auto"/>
        <w:ind w:right="103"/>
        <w:jc w:val="both"/>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43DE0EF9" w14:textId="77777777" w:rsidR="00205CD9" w:rsidRDefault="00735DDA">
      <w:pPr>
        <w:pStyle w:val="ListParagraph"/>
        <w:numPr>
          <w:ilvl w:val="0"/>
          <w:numId w:val="2"/>
        </w:numPr>
        <w:tabs>
          <w:tab w:val="left" w:pos="853"/>
        </w:tabs>
        <w:spacing w:before="198" w:line="242" w:lineRule="auto"/>
        <w:ind w:right="114"/>
        <w:jc w:val="both"/>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43DE0EFA" w14:textId="77777777" w:rsidR="00205CD9" w:rsidRDefault="00205CD9">
      <w:pPr>
        <w:pStyle w:val="BodyText"/>
        <w:spacing w:before="3"/>
        <w:rPr>
          <w:sz w:val="19"/>
        </w:rPr>
      </w:pPr>
    </w:p>
    <w:p w14:paraId="43DE0EFB" w14:textId="77777777" w:rsidR="00205CD9" w:rsidRDefault="00735DDA">
      <w:pPr>
        <w:pStyle w:val="ListParagraph"/>
        <w:numPr>
          <w:ilvl w:val="0"/>
          <w:numId w:val="2"/>
        </w:numPr>
        <w:tabs>
          <w:tab w:val="left" w:pos="853"/>
        </w:tabs>
        <w:spacing w:before="1"/>
        <w:ind w:right="108" w:hanging="710"/>
        <w:jc w:val="both"/>
        <w:rPr>
          <w:sz w:val="20"/>
        </w:rPr>
      </w:pPr>
      <w:r>
        <w:rPr>
          <w:b/>
          <w:sz w:val="20"/>
        </w:rPr>
        <w:t>Споразумение, разбирателство и други</w:t>
      </w:r>
      <w:r>
        <w:rPr>
          <w:sz w:val="20"/>
        </w:rPr>
        <w:t xml:space="preserve">: няколко други типа </w:t>
      </w:r>
      <w:proofErr w:type="spellStart"/>
      <w:r>
        <w:rPr>
          <w:sz w:val="20"/>
        </w:rPr>
        <w:t>материалноправни</w:t>
      </w:r>
      <w:proofErr w:type="spellEnd"/>
      <w:r>
        <w:rPr>
          <w:sz w:val="20"/>
        </w:rPr>
        <w:t xml:space="preserve">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205CD9">
      <w:pgSz w:w="11940" w:h="16860"/>
      <w:pgMar w:top="1300" w:right="1260" w:bottom="280" w:left="13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altName w:val="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24BE4"/>
    <w:multiLevelType w:val="hybridMultilevel"/>
    <w:tmpl w:val="4ABEDE0E"/>
    <w:lvl w:ilvl="0" w:tplc="3C645584">
      <w:numFmt w:val="bullet"/>
      <w:lvlText w:val=""/>
      <w:lvlJc w:val="left"/>
      <w:pPr>
        <w:ind w:left="1530" w:hanging="569"/>
      </w:pPr>
      <w:rPr>
        <w:rFonts w:ascii="Symbol" w:eastAsia="Symbol" w:hAnsi="Symbol" w:cs="Symbol" w:hint="default"/>
        <w:w w:val="99"/>
        <w:sz w:val="20"/>
        <w:szCs w:val="20"/>
        <w:lang w:val="en-US" w:eastAsia="en-US" w:bidi="ar-SA"/>
      </w:rPr>
    </w:lvl>
    <w:lvl w:ilvl="1" w:tplc="09DEE490">
      <w:numFmt w:val="bullet"/>
      <w:lvlText w:val="•"/>
      <w:lvlJc w:val="left"/>
      <w:pPr>
        <w:ind w:left="2462" w:hanging="569"/>
      </w:pPr>
      <w:rPr>
        <w:rFonts w:hint="default"/>
        <w:lang w:val="en-US" w:eastAsia="en-US" w:bidi="ar-SA"/>
      </w:rPr>
    </w:lvl>
    <w:lvl w:ilvl="2" w:tplc="0E10D54C">
      <w:numFmt w:val="bullet"/>
      <w:lvlText w:val="•"/>
      <w:lvlJc w:val="left"/>
      <w:pPr>
        <w:ind w:left="3384" w:hanging="569"/>
      </w:pPr>
      <w:rPr>
        <w:rFonts w:hint="default"/>
        <w:lang w:val="en-US" w:eastAsia="en-US" w:bidi="ar-SA"/>
      </w:rPr>
    </w:lvl>
    <w:lvl w:ilvl="3" w:tplc="6D3ACD30">
      <w:numFmt w:val="bullet"/>
      <w:lvlText w:val="•"/>
      <w:lvlJc w:val="left"/>
      <w:pPr>
        <w:ind w:left="4306" w:hanging="569"/>
      </w:pPr>
      <w:rPr>
        <w:rFonts w:hint="default"/>
        <w:lang w:val="en-US" w:eastAsia="en-US" w:bidi="ar-SA"/>
      </w:rPr>
    </w:lvl>
    <w:lvl w:ilvl="4" w:tplc="22F8076C">
      <w:numFmt w:val="bullet"/>
      <w:lvlText w:val="•"/>
      <w:lvlJc w:val="left"/>
      <w:pPr>
        <w:ind w:left="5228" w:hanging="569"/>
      </w:pPr>
      <w:rPr>
        <w:rFonts w:hint="default"/>
        <w:lang w:val="en-US" w:eastAsia="en-US" w:bidi="ar-SA"/>
      </w:rPr>
    </w:lvl>
    <w:lvl w:ilvl="5" w:tplc="F8F44E62">
      <w:numFmt w:val="bullet"/>
      <w:lvlText w:val="•"/>
      <w:lvlJc w:val="left"/>
      <w:pPr>
        <w:ind w:left="6150" w:hanging="569"/>
      </w:pPr>
      <w:rPr>
        <w:rFonts w:hint="default"/>
        <w:lang w:val="en-US" w:eastAsia="en-US" w:bidi="ar-SA"/>
      </w:rPr>
    </w:lvl>
    <w:lvl w:ilvl="6" w:tplc="5E80B930">
      <w:numFmt w:val="bullet"/>
      <w:lvlText w:val="•"/>
      <w:lvlJc w:val="left"/>
      <w:pPr>
        <w:ind w:left="7072" w:hanging="569"/>
      </w:pPr>
      <w:rPr>
        <w:rFonts w:hint="default"/>
        <w:lang w:val="en-US" w:eastAsia="en-US" w:bidi="ar-SA"/>
      </w:rPr>
    </w:lvl>
    <w:lvl w:ilvl="7" w:tplc="D4AA2FC4">
      <w:numFmt w:val="bullet"/>
      <w:lvlText w:val="•"/>
      <w:lvlJc w:val="left"/>
      <w:pPr>
        <w:ind w:left="7994" w:hanging="569"/>
      </w:pPr>
      <w:rPr>
        <w:rFonts w:hint="default"/>
        <w:lang w:val="en-US" w:eastAsia="en-US" w:bidi="ar-SA"/>
      </w:rPr>
    </w:lvl>
    <w:lvl w:ilvl="8" w:tplc="E3C461CE">
      <w:numFmt w:val="bullet"/>
      <w:lvlText w:val="•"/>
      <w:lvlJc w:val="left"/>
      <w:pPr>
        <w:ind w:left="8916" w:hanging="569"/>
      </w:pPr>
      <w:rPr>
        <w:rFonts w:hint="default"/>
        <w:lang w:val="en-US" w:eastAsia="en-US" w:bidi="ar-SA"/>
      </w:rPr>
    </w:lvl>
  </w:abstractNum>
  <w:abstractNum w:abstractNumId="1" w15:restartNumberingAfterBreak="0">
    <w:nsid w:val="05D450E2"/>
    <w:multiLevelType w:val="hybridMultilevel"/>
    <w:tmpl w:val="89D42EC2"/>
    <w:lvl w:ilvl="0" w:tplc="24AC4712">
      <w:start w:val="1"/>
      <w:numFmt w:val="upperRoman"/>
      <w:lvlText w:val="%1."/>
      <w:lvlJc w:val="left"/>
      <w:pPr>
        <w:ind w:left="1530" w:hanging="852"/>
        <w:jc w:val="left"/>
      </w:pPr>
      <w:rPr>
        <w:rFonts w:ascii="Arial" w:eastAsia="Arial" w:hAnsi="Arial" w:cs="Arial" w:hint="default"/>
        <w:b/>
        <w:bCs/>
        <w:spacing w:val="-1"/>
        <w:w w:val="99"/>
        <w:sz w:val="20"/>
        <w:szCs w:val="20"/>
        <w:lang w:val="en-US" w:eastAsia="en-US" w:bidi="ar-SA"/>
      </w:rPr>
    </w:lvl>
    <w:lvl w:ilvl="1" w:tplc="DE842EAC">
      <w:start w:val="1"/>
      <w:numFmt w:val="lowerRoman"/>
      <w:lvlText w:val="(%2)"/>
      <w:lvlJc w:val="left"/>
      <w:pPr>
        <w:ind w:left="1530" w:hanging="569"/>
        <w:jc w:val="left"/>
      </w:pPr>
      <w:rPr>
        <w:rFonts w:ascii="Arial" w:eastAsia="Arial" w:hAnsi="Arial" w:cs="Arial" w:hint="default"/>
        <w:spacing w:val="-2"/>
        <w:w w:val="99"/>
        <w:sz w:val="20"/>
        <w:szCs w:val="20"/>
        <w:lang w:val="en-US" w:eastAsia="en-US" w:bidi="ar-SA"/>
      </w:rPr>
    </w:lvl>
    <w:lvl w:ilvl="2" w:tplc="07883EB0">
      <w:numFmt w:val="bullet"/>
      <w:lvlText w:val="•"/>
      <w:lvlJc w:val="left"/>
      <w:pPr>
        <w:ind w:left="3384" w:hanging="569"/>
      </w:pPr>
      <w:rPr>
        <w:rFonts w:hint="default"/>
        <w:lang w:val="en-US" w:eastAsia="en-US" w:bidi="ar-SA"/>
      </w:rPr>
    </w:lvl>
    <w:lvl w:ilvl="3" w:tplc="542EDCEE">
      <w:numFmt w:val="bullet"/>
      <w:lvlText w:val="•"/>
      <w:lvlJc w:val="left"/>
      <w:pPr>
        <w:ind w:left="4306" w:hanging="569"/>
      </w:pPr>
      <w:rPr>
        <w:rFonts w:hint="default"/>
        <w:lang w:val="en-US" w:eastAsia="en-US" w:bidi="ar-SA"/>
      </w:rPr>
    </w:lvl>
    <w:lvl w:ilvl="4" w:tplc="3CCE0CFC">
      <w:numFmt w:val="bullet"/>
      <w:lvlText w:val="•"/>
      <w:lvlJc w:val="left"/>
      <w:pPr>
        <w:ind w:left="5228" w:hanging="569"/>
      </w:pPr>
      <w:rPr>
        <w:rFonts w:hint="default"/>
        <w:lang w:val="en-US" w:eastAsia="en-US" w:bidi="ar-SA"/>
      </w:rPr>
    </w:lvl>
    <w:lvl w:ilvl="5" w:tplc="68A4B9E0">
      <w:numFmt w:val="bullet"/>
      <w:lvlText w:val="•"/>
      <w:lvlJc w:val="left"/>
      <w:pPr>
        <w:ind w:left="6150" w:hanging="569"/>
      </w:pPr>
      <w:rPr>
        <w:rFonts w:hint="default"/>
        <w:lang w:val="en-US" w:eastAsia="en-US" w:bidi="ar-SA"/>
      </w:rPr>
    </w:lvl>
    <w:lvl w:ilvl="6" w:tplc="4482B1C6">
      <w:numFmt w:val="bullet"/>
      <w:lvlText w:val="•"/>
      <w:lvlJc w:val="left"/>
      <w:pPr>
        <w:ind w:left="7072" w:hanging="569"/>
      </w:pPr>
      <w:rPr>
        <w:rFonts w:hint="default"/>
        <w:lang w:val="en-US" w:eastAsia="en-US" w:bidi="ar-SA"/>
      </w:rPr>
    </w:lvl>
    <w:lvl w:ilvl="7" w:tplc="82C0783C">
      <w:numFmt w:val="bullet"/>
      <w:lvlText w:val="•"/>
      <w:lvlJc w:val="left"/>
      <w:pPr>
        <w:ind w:left="7994" w:hanging="569"/>
      </w:pPr>
      <w:rPr>
        <w:rFonts w:hint="default"/>
        <w:lang w:val="en-US" w:eastAsia="en-US" w:bidi="ar-SA"/>
      </w:rPr>
    </w:lvl>
    <w:lvl w:ilvl="8" w:tplc="16FAEF52">
      <w:numFmt w:val="bullet"/>
      <w:lvlText w:val="•"/>
      <w:lvlJc w:val="left"/>
      <w:pPr>
        <w:ind w:left="8916" w:hanging="569"/>
      </w:pPr>
      <w:rPr>
        <w:rFonts w:hint="default"/>
        <w:lang w:val="en-US" w:eastAsia="en-US" w:bidi="ar-SA"/>
      </w:rPr>
    </w:lvl>
  </w:abstractNum>
  <w:abstractNum w:abstractNumId="2" w15:restartNumberingAfterBreak="0">
    <w:nsid w:val="15EE05DC"/>
    <w:multiLevelType w:val="hybridMultilevel"/>
    <w:tmpl w:val="0978957C"/>
    <w:lvl w:ilvl="0" w:tplc="5F06EC76">
      <w:numFmt w:val="bullet"/>
      <w:lvlText w:val="•"/>
      <w:lvlJc w:val="left"/>
      <w:pPr>
        <w:ind w:left="852" w:hanging="711"/>
      </w:pPr>
      <w:rPr>
        <w:rFonts w:ascii="Verdana" w:eastAsia="Verdana" w:hAnsi="Verdana" w:cs="Verdana" w:hint="default"/>
        <w:w w:val="80"/>
        <w:sz w:val="20"/>
        <w:szCs w:val="20"/>
        <w:lang w:val="en-US" w:eastAsia="en-US" w:bidi="ar-SA"/>
      </w:rPr>
    </w:lvl>
    <w:lvl w:ilvl="1" w:tplc="F4B2F992">
      <w:numFmt w:val="bullet"/>
      <w:lvlText w:val="•"/>
      <w:lvlJc w:val="left"/>
      <w:pPr>
        <w:ind w:left="1712" w:hanging="711"/>
      </w:pPr>
      <w:rPr>
        <w:rFonts w:hint="default"/>
        <w:lang w:val="en-US" w:eastAsia="en-US" w:bidi="ar-SA"/>
      </w:rPr>
    </w:lvl>
    <w:lvl w:ilvl="2" w:tplc="022E1E32">
      <w:numFmt w:val="bullet"/>
      <w:lvlText w:val="•"/>
      <w:lvlJc w:val="left"/>
      <w:pPr>
        <w:ind w:left="2564" w:hanging="711"/>
      </w:pPr>
      <w:rPr>
        <w:rFonts w:hint="default"/>
        <w:lang w:val="en-US" w:eastAsia="en-US" w:bidi="ar-SA"/>
      </w:rPr>
    </w:lvl>
    <w:lvl w:ilvl="3" w:tplc="DF3C99A6">
      <w:numFmt w:val="bullet"/>
      <w:lvlText w:val="•"/>
      <w:lvlJc w:val="left"/>
      <w:pPr>
        <w:ind w:left="3416" w:hanging="711"/>
      </w:pPr>
      <w:rPr>
        <w:rFonts w:hint="default"/>
        <w:lang w:val="en-US" w:eastAsia="en-US" w:bidi="ar-SA"/>
      </w:rPr>
    </w:lvl>
    <w:lvl w:ilvl="4" w:tplc="1C881412">
      <w:numFmt w:val="bullet"/>
      <w:lvlText w:val="•"/>
      <w:lvlJc w:val="left"/>
      <w:pPr>
        <w:ind w:left="4268" w:hanging="711"/>
      </w:pPr>
      <w:rPr>
        <w:rFonts w:hint="default"/>
        <w:lang w:val="en-US" w:eastAsia="en-US" w:bidi="ar-SA"/>
      </w:rPr>
    </w:lvl>
    <w:lvl w:ilvl="5" w:tplc="5D9CA68A">
      <w:numFmt w:val="bullet"/>
      <w:lvlText w:val="•"/>
      <w:lvlJc w:val="left"/>
      <w:pPr>
        <w:ind w:left="5120" w:hanging="711"/>
      </w:pPr>
      <w:rPr>
        <w:rFonts w:hint="default"/>
        <w:lang w:val="en-US" w:eastAsia="en-US" w:bidi="ar-SA"/>
      </w:rPr>
    </w:lvl>
    <w:lvl w:ilvl="6" w:tplc="A3F0E022">
      <w:numFmt w:val="bullet"/>
      <w:lvlText w:val="•"/>
      <w:lvlJc w:val="left"/>
      <w:pPr>
        <w:ind w:left="5972" w:hanging="711"/>
      </w:pPr>
      <w:rPr>
        <w:rFonts w:hint="default"/>
        <w:lang w:val="en-US" w:eastAsia="en-US" w:bidi="ar-SA"/>
      </w:rPr>
    </w:lvl>
    <w:lvl w:ilvl="7" w:tplc="1D000D9A">
      <w:numFmt w:val="bullet"/>
      <w:lvlText w:val="•"/>
      <w:lvlJc w:val="left"/>
      <w:pPr>
        <w:ind w:left="6824" w:hanging="711"/>
      </w:pPr>
      <w:rPr>
        <w:rFonts w:hint="default"/>
        <w:lang w:val="en-US" w:eastAsia="en-US" w:bidi="ar-SA"/>
      </w:rPr>
    </w:lvl>
    <w:lvl w:ilvl="8" w:tplc="2A7087CE">
      <w:numFmt w:val="bullet"/>
      <w:lvlText w:val="•"/>
      <w:lvlJc w:val="left"/>
      <w:pPr>
        <w:ind w:left="7676" w:hanging="711"/>
      </w:pPr>
      <w:rPr>
        <w:rFonts w:hint="default"/>
        <w:lang w:val="en-US" w:eastAsia="en-US" w:bidi="ar-SA"/>
      </w:rPr>
    </w:lvl>
  </w:abstractNum>
  <w:abstractNum w:abstractNumId="3" w15:restartNumberingAfterBreak="0">
    <w:nsid w:val="37E57B52"/>
    <w:multiLevelType w:val="hybridMultilevel"/>
    <w:tmpl w:val="A8AAEF1E"/>
    <w:lvl w:ilvl="0" w:tplc="CFE88F9A">
      <w:start w:val="1"/>
      <w:numFmt w:val="upperRoman"/>
      <w:lvlText w:val="%1."/>
      <w:lvlJc w:val="left"/>
      <w:pPr>
        <w:ind w:left="678" w:hanging="852"/>
        <w:jc w:val="left"/>
      </w:pPr>
      <w:rPr>
        <w:rFonts w:ascii="Arial" w:eastAsia="Arial" w:hAnsi="Arial" w:cs="Arial" w:hint="default"/>
        <w:b/>
        <w:bCs/>
        <w:spacing w:val="-1"/>
        <w:w w:val="99"/>
        <w:sz w:val="20"/>
        <w:szCs w:val="20"/>
        <w:lang w:val="en-US" w:eastAsia="en-US" w:bidi="ar-SA"/>
      </w:rPr>
    </w:lvl>
    <w:lvl w:ilvl="1" w:tplc="9A70546E">
      <w:numFmt w:val="bullet"/>
      <w:lvlText w:val=""/>
      <w:lvlJc w:val="left"/>
      <w:pPr>
        <w:ind w:left="1530" w:hanging="569"/>
      </w:pPr>
      <w:rPr>
        <w:rFonts w:ascii="Symbol" w:eastAsia="Symbol" w:hAnsi="Symbol" w:cs="Symbol" w:hint="default"/>
        <w:w w:val="99"/>
        <w:sz w:val="20"/>
        <w:szCs w:val="20"/>
        <w:lang w:val="en-US" w:eastAsia="en-US" w:bidi="ar-SA"/>
      </w:rPr>
    </w:lvl>
    <w:lvl w:ilvl="2" w:tplc="5874EFBE">
      <w:numFmt w:val="bullet"/>
      <w:lvlText w:val="•"/>
      <w:lvlJc w:val="left"/>
      <w:pPr>
        <w:ind w:left="1540" w:hanging="569"/>
      </w:pPr>
      <w:rPr>
        <w:rFonts w:hint="default"/>
        <w:lang w:val="en-US" w:eastAsia="en-US" w:bidi="ar-SA"/>
      </w:rPr>
    </w:lvl>
    <w:lvl w:ilvl="3" w:tplc="CF7455D4">
      <w:numFmt w:val="bullet"/>
      <w:lvlText w:val="•"/>
      <w:lvlJc w:val="left"/>
      <w:pPr>
        <w:ind w:left="2692" w:hanging="569"/>
      </w:pPr>
      <w:rPr>
        <w:rFonts w:hint="default"/>
        <w:lang w:val="en-US" w:eastAsia="en-US" w:bidi="ar-SA"/>
      </w:rPr>
    </w:lvl>
    <w:lvl w:ilvl="4" w:tplc="134A7C28">
      <w:numFmt w:val="bullet"/>
      <w:lvlText w:val="•"/>
      <w:lvlJc w:val="left"/>
      <w:pPr>
        <w:ind w:left="3845" w:hanging="569"/>
      </w:pPr>
      <w:rPr>
        <w:rFonts w:hint="default"/>
        <w:lang w:val="en-US" w:eastAsia="en-US" w:bidi="ar-SA"/>
      </w:rPr>
    </w:lvl>
    <w:lvl w:ilvl="5" w:tplc="7160CDFC">
      <w:numFmt w:val="bullet"/>
      <w:lvlText w:val="•"/>
      <w:lvlJc w:val="left"/>
      <w:pPr>
        <w:ind w:left="4997" w:hanging="569"/>
      </w:pPr>
      <w:rPr>
        <w:rFonts w:hint="default"/>
        <w:lang w:val="en-US" w:eastAsia="en-US" w:bidi="ar-SA"/>
      </w:rPr>
    </w:lvl>
    <w:lvl w:ilvl="6" w:tplc="ED9E7174">
      <w:numFmt w:val="bullet"/>
      <w:lvlText w:val="•"/>
      <w:lvlJc w:val="left"/>
      <w:pPr>
        <w:ind w:left="6150" w:hanging="569"/>
      </w:pPr>
      <w:rPr>
        <w:rFonts w:hint="default"/>
        <w:lang w:val="en-US" w:eastAsia="en-US" w:bidi="ar-SA"/>
      </w:rPr>
    </w:lvl>
    <w:lvl w:ilvl="7" w:tplc="ED66EBC6">
      <w:numFmt w:val="bullet"/>
      <w:lvlText w:val="•"/>
      <w:lvlJc w:val="left"/>
      <w:pPr>
        <w:ind w:left="7302" w:hanging="569"/>
      </w:pPr>
      <w:rPr>
        <w:rFonts w:hint="default"/>
        <w:lang w:val="en-US" w:eastAsia="en-US" w:bidi="ar-SA"/>
      </w:rPr>
    </w:lvl>
    <w:lvl w:ilvl="8" w:tplc="9C3EA7FC">
      <w:numFmt w:val="bullet"/>
      <w:lvlText w:val="•"/>
      <w:lvlJc w:val="left"/>
      <w:pPr>
        <w:ind w:left="8455" w:hanging="569"/>
      </w:pPr>
      <w:rPr>
        <w:rFonts w:hint="default"/>
        <w:lang w:val="en-US" w:eastAsia="en-US" w:bidi="ar-SA"/>
      </w:rPr>
    </w:lvl>
  </w:abstractNum>
  <w:abstractNum w:abstractNumId="4" w15:restartNumberingAfterBreak="0">
    <w:nsid w:val="38BD7ADA"/>
    <w:multiLevelType w:val="hybridMultilevel"/>
    <w:tmpl w:val="B6EC1388"/>
    <w:lvl w:ilvl="0" w:tplc="A21A418C">
      <w:numFmt w:val="bullet"/>
      <w:lvlText w:val="−"/>
      <w:lvlJc w:val="left"/>
      <w:pPr>
        <w:ind w:left="2097" w:hanging="567"/>
      </w:pPr>
      <w:rPr>
        <w:rFonts w:ascii="Calibri" w:eastAsia="Calibri" w:hAnsi="Calibri" w:cs="Calibri" w:hint="default"/>
        <w:w w:val="101"/>
        <w:sz w:val="20"/>
        <w:szCs w:val="20"/>
        <w:lang w:val="en-US" w:eastAsia="en-US" w:bidi="ar-SA"/>
      </w:rPr>
    </w:lvl>
    <w:lvl w:ilvl="1" w:tplc="FF52977E">
      <w:numFmt w:val="bullet"/>
      <w:lvlText w:val="•"/>
      <w:lvlJc w:val="left"/>
      <w:pPr>
        <w:ind w:left="2966" w:hanging="567"/>
      </w:pPr>
      <w:rPr>
        <w:rFonts w:hint="default"/>
        <w:lang w:val="en-US" w:eastAsia="en-US" w:bidi="ar-SA"/>
      </w:rPr>
    </w:lvl>
    <w:lvl w:ilvl="2" w:tplc="54CA5A0A">
      <w:numFmt w:val="bullet"/>
      <w:lvlText w:val="•"/>
      <w:lvlJc w:val="left"/>
      <w:pPr>
        <w:ind w:left="3832" w:hanging="567"/>
      </w:pPr>
      <w:rPr>
        <w:rFonts w:hint="default"/>
        <w:lang w:val="en-US" w:eastAsia="en-US" w:bidi="ar-SA"/>
      </w:rPr>
    </w:lvl>
    <w:lvl w:ilvl="3" w:tplc="887212AA">
      <w:numFmt w:val="bullet"/>
      <w:lvlText w:val="•"/>
      <w:lvlJc w:val="left"/>
      <w:pPr>
        <w:ind w:left="4698" w:hanging="567"/>
      </w:pPr>
      <w:rPr>
        <w:rFonts w:hint="default"/>
        <w:lang w:val="en-US" w:eastAsia="en-US" w:bidi="ar-SA"/>
      </w:rPr>
    </w:lvl>
    <w:lvl w:ilvl="4" w:tplc="4B821262">
      <w:numFmt w:val="bullet"/>
      <w:lvlText w:val="•"/>
      <w:lvlJc w:val="left"/>
      <w:pPr>
        <w:ind w:left="5564" w:hanging="567"/>
      </w:pPr>
      <w:rPr>
        <w:rFonts w:hint="default"/>
        <w:lang w:val="en-US" w:eastAsia="en-US" w:bidi="ar-SA"/>
      </w:rPr>
    </w:lvl>
    <w:lvl w:ilvl="5" w:tplc="755486FA">
      <w:numFmt w:val="bullet"/>
      <w:lvlText w:val="•"/>
      <w:lvlJc w:val="left"/>
      <w:pPr>
        <w:ind w:left="6430" w:hanging="567"/>
      </w:pPr>
      <w:rPr>
        <w:rFonts w:hint="default"/>
        <w:lang w:val="en-US" w:eastAsia="en-US" w:bidi="ar-SA"/>
      </w:rPr>
    </w:lvl>
    <w:lvl w:ilvl="6" w:tplc="89668BDC">
      <w:numFmt w:val="bullet"/>
      <w:lvlText w:val="•"/>
      <w:lvlJc w:val="left"/>
      <w:pPr>
        <w:ind w:left="7296" w:hanging="567"/>
      </w:pPr>
      <w:rPr>
        <w:rFonts w:hint="default"/>
        <w:lang w:val="en-US" w:eastAsia="en-US" w:bidi="ar-SA"/>
      </w:rPr>
    </w:lvl>
    <w:lvl w:ilvl="7" w:tplc="EAAC6B36">
      <w:numFmt w:val="bullet"/>
      <w:lvlText w:val="•"/>
      <w:lvlJc w:val="left"/>
      <w:pPr>
        <w:ind w:left="8162" w:hanging="567"/>
      </w:pPr>
      <w:rPr>
        <w:rFonts w:hint="default"/>
        <w:lang w:val="en-US" w:eastAsia="en-US" w:bidi="ar-SA"/>
      </w:rPr>
    </w:lvl>
    <w:lvl w:ilvl="8" w:tplc="6D2CB79A">
      <w:numFmt w:val="bullet"/>
      <w:lvlText w:val="•"/>
      <w:lvlJc w:val="left"/>
      <w:pPr>
        <w:ind w:left="9028" w:hanging="567"/>
      </w:pPr>
      <w:rPr>
        <w:rFonts w:hint="default"/>
        <w:lang w:val="en-US" w:eastAsia="en-US" w:bidi="ar-SA"/>
      </w:rPr>
    </w:lvl>
  </w:abstractNum>
  <w:abstractNum w:abstractNumId="5" w15:restartNumberingAfterBreak="0">
    <w:nsid w:val="3CEB466E"/>
    <w:multiLevelType w:val="hybridMultilevel"/>
    <w:tmpl w:val="62FE043C"/>
    <w:lvl w:ilvl="0" w:tplc="BEA41EE8">
      <w:numFmt w:val="bullet"/>
      <w:lvlText w:val="−"/>
      <w:lvlJc w:val="left"/>
      <w:pPr>
        <w:ind w:left="1398" w:hanging="360"/>
      </w:pPr>
      <w:rPr>
        <w:rFonts w:ascii="Calibri" w:eastAsia="Calibri" w:hAnsi="Calibri" w:cs="Calibri" w:hint="default"/>
        <w:w w:val="101"/>
        <w:sz w:val="20"/>
        <w:szCs w:val="20"/>
        <w:lang w:val="en-US" w:eastAsia="en-US" w:bidi="ar-SA"/>
      </w:rPr>
    </w:lvl>
    <w:lvl w:ilvl="1" w:tplc="F9F02D16">
      <w:numFmt w:val="bullet"/>
      <w:lvlText w:val="•"/>
      <w:lvlJc w:val="left"/>
      <w:pPr>
        <w:ind w:left="2336" w:hanging="360"/>
      </w:pPr>
      <w:rPr>
        <w:rFonts w:hint="default"/>
        <w:lang w:val="en-US" w:eastAsia="en-US" w:bidi="ar-SA"/>
      </w:rPr>
    </w:lvl>
    <w:lvl w:ilvl="2" w:tplc="2890890E">
      <w:numFmt w:val="bullet"/>
      <w:lvlText w:val="•"/>
      <w:lvlJc w:val="left"/>
      <w:pPr>
        <w:ind w:left="3272" w:hanging="360"/>
      </w:pPr>
      <w:rPr>
        <w:rFonts w:hint="default"/>
        <w:lang w:val="en-US" w:eastAsia="en-US" w:bidi="ar-SA"/>
      </w:rPr>
    </w:lvl>
    <w:lvl w:ilvl="3" w:tplc="80AA8ADE">
      <w:numFmt w:val="bullet"/>
      <w:lvlText w:val="•"/>
      <w:lvlJc w:val="left"/>
      <w:pPr>
        <w:ind w:left="4208" w:hanging="360"/>
      </w:pPr>
      <w:rPr>
        <w:rFonts w:hint="default"/>
        <w:lang w:val="en-US" w:eastAsia="en-US" w:bidi="ar-SA"/>
      </w:rPr>
    </w:lvl>
    <w:lvl w:ilvl="4" w:tplc="DF88034E">
      <w:numFmt w:val="bullet"/>
      <w:lvlText w:val="•"/>
      <w:lvlJc w:val="left"/>
      <w:pPr>
        <w:ind w:left="5144" w:hanging="360"/>
      </w:pPr>
      <w:rPr>
        <w:rFonts w:hint="default"/>
        <w:lang w:val="en-US" w:eastAsia="en-US" w:bidi="ar-SA"/>
      </w:rPr>
    </w:lvl>
    <w:lvl w:ilvl="5" w:tplc="461E5134">
      <w:numFmt w:val="bullet"/>
      <w:lvlText w:val="•"/>
      <w:lvlJc w:val="left"/>
      <w:pPr>
        <w:ind w:left="6080" w:hanging="360"/>
      </w:pPr>
      <w:rPr>
        <w:rFonts w:hint="default"/>
        <w:lang w:val="en-US" w:eastAsia="en-US" w:bidi="ar-SA"/>
      </w:rPr>
    </w:lvl>
    <w:lvl w:ilvl="6" w:tplc="9F04C3EE">
      <w:numFmt w:val="bullet"/>
      <w:lvlText w:val="•"/>
      <w:lvlJc w:val="left"/>
      <w:pPr>
        <w:ind w:left="7016" w:hanging="360"/>
      </w:pPr>
      <w:rPr>
        <w:rFonts w:hint="default"/>
        <w:lang w:val="en-US" w:eastAsia="en-US" w:bidi="ar-SA"/>
      </w:rPr>
    </w:lvl>
    <w:lvl w:ilvl="7" w:tplc="FFFAA6AA">
      <w:numFmt w:val="bullet"/>
      <w:lvlText w:val="•"/>
      <w:lvlJc w:val="left"/>
      <w:pPr>
        <w:ind w:left="7952" w:hanging="360"/>
      </w:pPr>
      <w:rPr>
        <w:rFonts w:hint="default"/>
        <w:lang w:val="en-US" w:eastAsia="en-US" w:bidi="ar-SA"/>
      </w:rPr>
    </w:lvl>
    <w:lvl w:ilvl="8" w:tplc="6082C492">
      <w:numFmt w:val="bullet"/>
      <w:lvlText w:val="•"/>
      <w:lvlJc w:val="left"/>
      <w:pPr>
        <w:ind w:left="8888" w:hanging="360"/>
      </w:pPr>
      <w:rPr>
        <w:rFonts w:hint="default"/>
        <w:lang w:val="en-US" w:eastAsia="en-US" w:bidi="ar-SA"/>
      </w:rPr>
    </w:lvl>
  </w:abstractNum>
  <w:abstractNum w:abstractNumId="6" w15:restartNumberingAfterBreak="0">
    <w:nsid w:val="44EA1A87"/>
    <w:multiLevelType w:val="hybridMultilevel"/>
    <w:tmpl w:val="D1123BB2"/>
    <w:lvl w:ilvl="0" w:tplc="98CC4A18">
      <w:numFmt w:val="bullet"/>
      <w:lvlText w:val=""/>
      <w:lvlJc w:val="left"/>
      <w:pPr>
        <w:ind w:left="1530" w:hanging="569"/>
      </w:pPr>
      <w:rPr>
        <w:rFonts w:ascii="Symbol" w:eastAsia="Symbol" w:hAnsi="Symbol" w:cs="Symbol" w:hint="default"/>
        <w:w w:val="99"/>
        <w:sz w:val="20"/>
        <w:szCs w:val="20"/>
        <w:lang w:val="en-US" w:eastAsia="en-US" w:bidi="ar-SA"/>
      </w:rPr>
    </w:lvl>
    <w:lvl w:ilvl="1" w:tplc="F9CCB89A">
      <w:numFmt w:val="bullet"/>
      <w:lvlText w:val="−"/>
      <w:lvlJc w:val="left"/>
      <w:pPr>
        <w:ind w:left="2097" w:hanging="567"/>
      </w:pPr>
      <w:rPr>
        <w:rFonts w:ascii="Calibri" w:eastAsia="Calibri" w:hAnsi="Calibri" w:cs="Calibri" w:hint="default"/>
        <w:w w:val="101"/>
        <w:sz w:val="20"/>
        <w:szCs w:val="20"/>
        <w:lang w:val="en-US" w:eastAsia="en-US" w:bidi="ar-SA"/>
      </w:rPr>
    </w:lvl>
    <w:lvl w:ilvl="2" w:tplc="608EA780">
      <w:numFmt w:val="bullet"/>
      <w:lvlText w:val="•"/>
      <w:lvlJc w:val="left"/>
      <w:pPr>
        <w:ind w:left="3062" w:hanging="567"/>
      </w:pPr>
      <w:rPr>
        <w:rFonts w:hint="default"/>
        <w:lang w:val="en-US" w:eastAsia="en-US" w:bidi="ar-SA"/>
      </w:rPr>
    </w:lvl>
    <w:lvl w:ilvl="3" w:tplc="708E6F20">
      <w:numFmt w:val="bullet"/>
      <w:lvlText w:val="•"/>
      <w:lvlJc w:val="left"/>
      <w:pPr>
        <w:ind w:left="4024" w:hanging="567"/>
      </w:pPr>
      <w:rPr>
        <w:rFonts w:hint="default"/>
        <w:lang w:val="en-US" w:eastAsia="en-US" w:bidi="ar-SA"/>
      </w:rPr>
    </w:lvl>
    <w:lvl w:ilvl="4" w:tplc="B79A047A">
      <w:numFmt w:val="bullet"/>
      <w:lvlText w:val="•"/>
      <w:lvlJc w:val="left"/>
      <w:pPr>
        <w:ind w:left="4986" w:hanging="567"/>
      </w:pPr>
      <w:rPr>
        <w:rFonts w:hint="default"/>
        <w:lang w:val="en-US" w:eastAsia="en-US" w:bidi="ar-SA"/>
      </w:rPr>
    </w:lvl>
    <w:lvl w:ilvl="5" w:tplc="17F44AFA">
      <w:numFmt w:val="bullet"/>
      <w:lvlText w:val="•"/>
      <w:lvlJc w:val="left"/>
      <w:pPr>
        <w:ind w:left="5948" w:hanging="567"/>
      </w:pPr>
      <w:rPr>
        <w:rFonts w:hint="default"/>
        <w:lang w:val="en-US" w:eastAsia="en-US" w:bidi="ar-SA"/>
      </w:rPr>
    </w:lvl>
    <w:lvl w:ilvl="6" w:tplc="EF181D66">
      <w:numFmt w:val="bullet"/>
      <w:lvlText w:val="•"/>
      <w:lvlJc w:val="left"/>
      <w:pPr>
        <w:ind w:left="6911" w:hanging="567"/>
      </w:pPr>
      <w:rPr>
        <w:rFonts w:hint="default"/>
        <w:lang w:val="en-US" w:eastAsia="en-US" w:bidi="ar-SA"/>
      </w:rPr>
    </w:lvl>
    <w:lvl w:ilvl="7" w:tplc="5C406884">
      <w:numFmt w:val="bullet"/>
      <w:lvlText w:val="•"/>
      <w:lvlJc w:val="left"/>
      <w:pPr>
        <w:ind w:left="7873" w:hanging="567"/>
      </w:pPr>
      <w:rPr>
        <w:rFonts w:hint="default"/>
        <w:lang w:val="en-US" w:eastAsia="en-US" w:bidi="ar-SA"/>
      </w:rPr>
    </w:lvl>
    <w:lvl w:ilvl="8" w:tplc="0E08BB38">
      <w:numFmt w:val="bullet"/>
      <w:lvlText w:val="•"/>
      <w:lvlJc w:val="left"/>
      <w:pPr>
        <w:ind w:left="8835" w:hanging="567"/>
      </w:pPr>
      <w:rPr>
        <w:rFonts w:hint="default"/>
        <w:lang w:val="en-US" w:eastAsia="en-US" w:bidi="ar-SA"/>
      </w:rPr>
    </w:lvl>
  </w:abstractNum>
  <w:abstractNum w:abstractNumId="7" w15:restartNumberingAfterBreak="0">
    <w:nsid w:val="5944569A"/>
    <w:multiLevelType w:val="hybridMultilevel"/>
    <w:tmpl w:val="EB3C1E84"/>
    <w:lvl w:ilvl="0" w:tplc="38A687D8">
      <w:start w:val="8"/>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AF01635"/>
    <w:multiLevelType w:val="hybridMultilevel"/>
    <w:tmpl w:val="501EE8DE"/>
    <w:lvl w:ilvl="0" w:tplc="547A48A0">
      <w:numFmt w:val="bullet"/>
      <w:lvlText w:val="−"/>
      <w:lvlJc w:val="left"/>
      <w:pPr>
        <w:ind w:left="2097" w:hanging="567"/>
      </w:pPr>
      <w:rPr>
        <w:rFonts w:ascii="Calibri" w:eastAsia="Calibri" w:hAnsi="Calibri" w:cs="Calibri" w:hint="default"/>
        <w:w w:val="101"/>
        <w:sz w:val="20"/>
        <w:szCs w:val="20"/>
        <w:lang w:val="en-US" w:eastAsia="en-US" w:bidi="ar-SA"/>
      </w:rPr>
    </w:lvl>
    <w:lvl w:ilvl="1" w:tplc="95148C10">
      <w:numFmt w:val="bullet"/>
      <w:lvlText w:val="•"/>
      <w:lvlJc w:val="left"/>
      <w:pPr>
        <w:ind w:left="2966" w:hanging="567"/>
      </w:pPr>
      <w:rPr>
        <w:rFonts w:hint="default"/>
        <w:lang w:val="en-US" w:eastAsia="en-US" w:bidi="ar-SA"/>
      </w:rPr>
    </w:lvl>
    <w:lvl w:ilvl="2" w:tplc="EB2A4096">
      <w:numFmt w:val="bullet"/>
      <w:lvlText w:val="•"/>
      <w:lvlJc w:val="left"/>
      <w:pPr>
        <w:ind w:left="3832" w:hanging="567"/>
      </w:pPr>
      <w:rPr>
        <w:rFonts w:hint="default"/>
        <w:lang w:val="en-US" w:eastAsia="en-US" w:bidi="ar-SA"/>
      </w:rPr>
    </w:lvl>
    <w:lvl w:ilvl="3" w:tplc="4BE64A9E">
      <w:numFmt w:val="bullet"/>
      <w:lvlText w:val="•"/>
      <w:lvlJc w:val="left"/>
      <w:pPr>
        <w:ind w:left="4698" w:hanging="567"/>
      </w:pPr>
      <w:rPr>
        <w:rFonts w:hint="default"/>
        <w:lang w:val="en-US" w:eastAsia="en-US" w:bidi="ar-SA"/>
      </w:rPr>
    </w:lvl>
    <w:lvl w:ilvl="4" w:tplc="156E5E1E">
      <w:numFmt w:val="bullet"/>
      <w:lvlText w:val="•"/>
      <w:lvlJc w:val="left"/>
      <w:pPr>
        <w:ind w:left="5564" w:hanging="567"/>
      </w:pPr>
      <w:rPr>
        <w:rFonts w:hint="default"/>
        <w:lang w:val="en-US" w:eastAsia="en-US" w:bidi="ar-SA"/>
      </w:rPr>
    </w:lvl>
    <w:lvl w:ilvl="5" w:tplc="112AE6D0">
      <w:numFmt w:val="bullet"/>
      <w:lvlText w:val="•"/>
      <w:lvlJc w:val="left"/>
      <w:pPr>
        <w:ind w:left="6430" w:hanging="567"/>
      </w:pPr>
      <w:rPr>
        <w:rFonts w:hint="default"/>
        <w:lang w:val="en-US" w:eastAsia="en-US" w:bidi="ar-SA"/>
      </w:rPr>
    </w:lvl>
    <w:lvl w:ilvl="6" w:tplc="773E0058">
      <w:numFmt w:val="bullet"/>
      <w:lvlText w:val="•"/>
      <w:lvlJc w:val="left"/>
      <w:pPr>
        <w:ind w:left="7296" w:hanging="567"/>
      </w:pPr>
      <w:rPr>
        <w:rFonts w:hint="default"/>
        <w:lang w:val="en-US" w:eastAsia="en-US" w:bidi="ar-SA"/>
      </w:rPr>
    </w:lvl>
    <w:lvl w:ilvl="7" w:tplc="97840A98">
      <w:numFmt w:val="bullet"/>
      <w:lvlText w:val="•"/>
      <w:lvlJc w:val="left"/>
      <w:pPr>
        <w:ind w:left="8162" w:hanging="567"/>
      </w:pPr>
      <w:rPr>
        <w:rFonts w:hint="default"/>
        <w:lang w:val="en-US" w:eastAsia="en-US" w:bidi="ar-SA"/>
      </w:rPr>
    </w:lvl>
    <w:lvl w:ilvl="8" w:tplc="B642A0EC">
      <w:numFmt w:val="bullet"/>
      <w:lvlText w:val="•"/>
      <w:lvlJc w:val="left"/>
      <w:pPr>
        <w:ind w:left="9028" w:hanging="567"/>
      </w:pPr>
      <w:rPr>
        <w:rFonts w:hint="default"/>
        <w:lang w:val="en-US" w:eastAsia="en-US" w:bidi="ar-SA"/>
      </w:rPr>
    </w:lvl>
  </w:abstractNum>
  <w:num w:numId="1">
    <w:abstractNumId w:val="4"/>
  </w:num>
  <w:num w:numId="2">
    <w:abstractNumId w:val="2"/>
  </w:num>
  <w:num w:numId="3">
    <w:abstractNumId w:val="5"/>
  </w:num>
  <w:num w:numId="4">
    <w:abstractNumId w:val="6"/>
  </w:num>
  <w:num w:numId="5">
    <w:abstractNumId w:val="8"/>
  </w:num>
  <w:num w:numId="6">
    <w:abstractNumId w:val="0"/>
  </w:num>
  <w:num w:numId="7">
    <w:abstractNumId w:val="3"/>
  </w:num>
  <w:num w:numId="8">
    <w:abstractNumId w:val="1"/>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2"/>
    <w:compatSetting w:name="useWord2013TrackBottomHyphenation" w:uri="http://schemas.microsoft.com/office/word" w:val="1"/>
  </w:compat>
  <w:rsids>
    <w:rsidRoot w:val="00205CD9"/>
    <w:rsid w:val="00027116"/>
    <w:rsid w:val="000359E5"/>
    <w:rsid w:val="0011342F"/>
    <w:rsid w:val="001B11D4"/>
    <w:rsid w:val="001E586A"/>
    <w:rsid w:val="00200785"/>
    <w:rsid w:val="00205CD9"/>
    <w:rsid w:val="00294DBE"/>
    <w:rsid w:val="002E0E63"/>
    <w:rsid w:val="003B5B1F"/>
    <w:rsid w:val="00482618"/>
    <w:rsid w:val="005457A6"/>
    <w:rsid w:val="00616FB3"/>
    <w:rsid w:val="006A79E8"/>
    <w:rsid w:val="006D7A1F"/>
    <w:rsid w:val="00735DDA"/>
    <w:rsid w:val="00770741"/>
    <w:rsid w:val="00947C58"/>
    <w:rsid w:val="009C0C78"/>
    <w:rsid w:val="00A226B3"/>
    <w:rsid w:val="00CF52D0"/>
    <w:rsid w:val="00D06898"/>
    <w:rsid w:val="00D77E85"/>
    <w:rsid w:val="00E23071"/>
    <w:rsid w:val="00E2456D"/>
    <w:rsid w:val="00E55AE7"/>
    <w:rsid w:val="00E81862"/>
    <w:rsid w:val="00F32C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53"/>
    <o:shapelayout v:ext="edit">
      <o:idmap v:ext="edit" data="1"/>
    </o:shapelayout>
  </w:shapeDefaults>
  <w:decimalSymbol w:val="."/>
  <w:listSeparator w:val=","/>
  <w14:docId w14:val="43DE0DA6"/>
  <w15:docId w15:val="{DD04F919-5011-42D9-AB66-B88CB3F92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ind w:left="678"/>
      <w:outlineLvl w:val="1"/>
    </w:pPr>
    <w:rPr>
      <w:b/>
      <w:bCs/>
      <w:sz w:val="20"/>
      <w:szCs w:val="20"/>
    </w:rPr>
  </w:style>
  <w:style w:type="paragraph" w:styleId="Heading3">
    <w:name w:val="heading 3"/>
    <w:basedOn w:val="Normal"/>
    <w:uiPriority w:val="9"/>
    <w:unhideWhenUsed/>
    <w:qFormat/>
    <w:pPr>
      <w:ind w:left="678"/>
      <w:jc w:val="both"/>
      <w:outlineLvl w:val="2"/>
    </w:pPr>
    <w:rPr>
      <w:b/>
      <w:bCs/>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1530" w:hanging="569"/>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legalinstruments.oecd.org/" TargetMode="External"/><Relationship Id="rId5" Type="http://schemas.openxmlformats.org/officeDocument/2006/relationships/styles" Target="styles.xml"/><Relationship Id="rId10" Type="http://schemas.openxmlformats.org/officeDocument/2006/relationships/hyperlink" Target="http://legalinstruments.oecd.org/" TargetMode="External"/><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c2649c6-0f6a-432e-8083-5d1192364e9a">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E3CFD0-CE8E-4607-8218-22553B40DE5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E1A23D8-C223-48B8-966B-BA6A28EF04B5}">
  <ds:schemaRefs>
    <ds:schemaRef ds:uri="http://schemas.microsoft.com/sharepoint/v3/contenttype/forms"/>
  </ds:schemaRefs>
</ds:datastoreItem>
</file>

<file path=customXml/itemProps3.xml><?xml version="1.0" encoding="utf-8"?>
<ds:datastoreItem xmlns:ds="http://schemas.openxmlformats.org/officeDocument/2006/customXml" ds:itemID="{B384A165-C873-4387-AC5C-BA7CB83D57A7}"/>
</file>

<file path=docProps/app.xml><?xml version="1.0" encoding="utf-8"?>
<Properties xmlns="http://schemas.openxmlformats.org/officeDocument/2006/extended-properties" xmlns:vt="http://schemas.openxmlformats.org/officeDocument/2006/docPropsVTypes">
  <Template>Normal.dotm</Template>
  <TotalTime>25</TotalTime>
  <Pages>12</Pages>
  <Words>6170</Words>
  <Characters>35173</Characters>
  <Application>Microsoft Office Word</Application>
  <DocSecurity>0</DocSecurity>
  <Lines>293</Lines>
  <Paragraphs>82</Paragraphs>
  <ScaleCrop>false</ScaleCrop>
  <Company/>
  <LinksUpToDate>false</LinksUpToDate>
  <CharactersWithSpaces>41261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Ivelina  Stoyanova</cp:lastModifiedBy>
  <cp:revision>28</cp:revision>
  <dcterms:created xsi:type="dcterms:W3CDTF">2022-01-19T08:59:00Z</dcterms:created>
  <dcterms:modified xsi:type="dcterms:W3CDTF">2022-01-31T09:32:00Z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2021-11-23T00:00:00Z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ies>
</file>